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3A" w:rsidRPr="00694E41" w:rsidRDefault="00600D3A" w:rsidP="00600D3A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0000"/>
          <w:sz w:val="28"/>
          <w:szCs w:val="28"/>
        </w:rPr>
        <w:drawing>
          <wp:inline distT="0" distB="0" distL="0" distR="0" wp14:anchorId="668CEB62" wp14:editId="472F0A9C">
            <wp:extent cx="3076575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_Busines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3A" w:rsidRDefault="00600D3A" w:rsidP="00600D3A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73697E" w:rsidRPr="00D6178D" w:rsidRDefault="00EB48CF" w:rsidP="0073697E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 w:rsidRPr="00D6178D">
        <w:rPr>
          <w:rFonts w:ascii="Century Gothic" w:hAnsi="Century Gothic"/>
          <w:b/>
          <w:bCs/>
          <w:color w:val="000000"/>
          <w:sz w:val="40"/>
          <w:szCs w:val="40"/>
        </w:rPr>
        <w:t>Problem Set</w:t>
      </w:r>
      <w:r w:rsidR="00617A46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Pr="00D6178D">
        <w:rPr>
          <w:rFonts w:ascii="Century Gothic" w:hAnsi="Century Gothic"/>
          <w:b/>
          <w:bCs/>
          <w:color w:val="000000"/>
          <w:sz w:val="40"/>
          <w:szCs w:val="40"/>
        </w:rPr>
        <w:t>Interest Rates</w:t>
      </w:r>
    </w:p>
    <w:p w:rsidR="00EB48CF" w:rsidRPr="00D6178D" w:rsidRDefault="00EB48CF" w:rsidP="00EB48CF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D6178D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Percentages and Basis Points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1% as a decimal and in basis points.</w:t>
      </w:r>
    </w:p>
    <w:p w:rsidR="00A15261" w:rsidRPr="00D6178D" w:rsidRDefault="00A15261" w:rsidP="00A15261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0.0025 as a percentage integer and in basis points.</w:t>
      </w:r>
    </w:p>
    <w:p w:rsidR="00A15261" w:rsidRPr="00D6178D" w:rsidRDefault="00A15261" w:rsidP="00A15261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15 basis points as a percentage integer and a decimal.</w:t>
      </w:r>
    </w:p>
    <w:p w:rsidR="00A15261" w:rsidRPr="00D6178D" w:rsidRDefault="00A15261" w:rsidP="00A15261">
      <w:pPr>
        <w:spacing w:line="240" w:lineRule="auto"/>
        <w:ind w:left="115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Compound Rates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$100 grows to $500 in 5 years, what is the annual compound rate of interest?</w:t>
      </w:r>
    </w:p>
    <w:p w:rsidR="00A15261" w:rsidRPr="00D6178D" w:rsidRDefault="00A15261" w:rsidP="00A15261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$11.15 grows to $30.34 in 7 years, what is the annual compound rate of interest?</w:t>
      </w:r>
    </w:p>
    <w:p w:rsidR="00A15261" w:rsidRPr="00D6178D" w:rsidRDefault="00A15261" w:rsidP="00A15261">
      <w:pPr>
        <w:spacing w:line="240" w:lineRule="auto"/>
        <w:ind w:left="115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Holding Period Return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$102.78 in June and $120.56 one month later, what is the holding period return?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>If a stock price is $45.00 in May and $43.55 one month later, what is the holding period return?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Find the monthly holding period returns, the quarterly holding period returns, and the annual holding period return:</w:t>
      </w:r>
    </w:p>
    <w:p w:rsidR="00A15261" w:rsidRPr="00D6178D" w:rsidRDefault="00A15261" w:rsidP="00A15261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225"/>
      </w:tblGrid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Price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$99.76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January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$101.56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February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$105.67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March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$110.55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April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$102.77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$107.45</w:t>
            </w:r>
          </w:p>
        </w:tc>
      </w:tr>
    </w:tbl>
    <w:p w:rsidR="00A15261" w:rsidRPr="00D6178D" w:rsidRDefault="00A15261" w:rsidP="00A15261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 xml:space="preserve">Annual Percentage Rate (APR) 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$103.45 in June and $105.11 one month later, what is the APR?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$45.00 in May and $43.55 one month later, what is the APR?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APR (based on monthly data) is 15.6%, what is the EAR?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APR (based on quarterly data) is 12.5%, what is the EAR?</w:t>
      </w:r>
    </w:p>
    <w:p w:rsidR="00A15261" w:rsidRPr="00D6178D" w:rsidRDefault="00A15261" w:rsidP="00A15261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EAR is 17.8%, what is the APR (based on weekly data)?</w:t>
      </w:r>
    </w:p>
    <w:p w:rsidR="00A15261" w:rsidRPr="00D6178D" w:rsidRDefault="00A15261" w:rsidP="00A15261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 xml:space="preserve">Effective Annual Return (EAR) 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$102.78 in June and $120.56 one month later, what is the EAR?</w:t>
      </w:r>
    </w:p>
    <w:p w:rsidR="00A15261" w:rsidRPr="00D6178D" w:rsidRDefault="00A15261" w:rsidP="00A15261">
      <w:pPr>
        <w:spacing w:line="240" w:lineRule="auto"/>
        <w:ind w:left="720" w:hanging="360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>If a stock price is $45.00 in May and $43.55 one month later, what is the EAR?</w:t>
      </w:r>
    </w:p>
    <w:p w:rsidR="00A15261" w:rsidRPr="00D6178D" w:rsidRDefault="00A15261" w:rsidP="00A15261">
      <w:pPr>
        <w:spacing w:line="240" w:lineRule="auto"/>
        <w:ind w:left="720" w:hanging="360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Find the monthly EAR and the quarterly EAR (this is the same data as about, so you can begin with those results: </w:t>
      </w:r>
    </w:p>
    <w:p w:rsidR="00A15261" w:rsidRPr="00D6178D" w:rsidRDefault="00A15261" w:rsidP="00A15261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225"/>
      </w:tblGrid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Price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$99.76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January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$101.56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February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$105.67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March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$110.55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April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$102.77</w:t>
            </w:r>
          </w:p>
        </w:tc>
      </w:tr>
      <w:tr w:rsidR="00A15261" w:rsidRPr="00D6178D" w:rsidTr="00A15261"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:rsidR="00A15261" w:rsidRPr="00D6178D" w:rsidRDefault="00A15261" w:rsidP="00A1526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$107.45</w:t>
            </w:r>
          </w:p>
        </w:tc>
      </w:tr>
    </w:tbl>
    <w:p w:rsidR="00A15261" w:rsidRPr="00D6178D" w:rsidRDefault="00A15261" w:rsidP="00A15261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Annual and Non-Annual Rate Conversions</w:t>
      </w:r>
    </w:p>
    <w:p w:rsidR="00A15261" w:rsidRPr="00D6178D" w:rsidRDefault="00A15261" w:rsidP="00A15261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monthly return is 2.1%, find the daily (365 days in a year), weekly, quarterly, semi-annual and annual returns.</w:t>
      </w:r>
    </w:p>
    <w:p w:rsidR="00A15261" w:rsidRPr="00D6178D" w:rsidRDefault="00A15261" w:rsidP="00A15261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weekly return is 0.6%, find the daily (365 days in a year), monthly, quarterly, semi-annual and annual returns.</w:t>
      </w:r>
    </w:p>
    <w:p w:rsidR="00A15261" w:rsidRPr="00D6178D" w:rsidRDefault="00A15261" w:rsidP="00F34F79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annual return is 10.1%, find the daily (365 days in a year), weekly, monthly, quarterly, and semi-annual returns.</w:t>
      </w:r>
    </w:p>
    <w:p w:rsidR="00A15261" w:rsidRPr="00D6178D" w:rsidRDefault="00A15261" w:rsidP="00A15261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A15261" w:rsidRPr="00D6178D" w:rsidRDefault="00A15261" w:rsidP="00A15261">
      <w:pPr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daily return is 5 basis points (365 days in a year), find the weekly, monthly, quarterly, semi-annual, and annual returns.</w:t>
      </w:r>
    </w:p>
    <w:p w:rsidR="00396EAE" w:rsidRPr="00D6178D" w:rsidRDefault="00396EAE" w:rsidP="00396EAE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D359E1" w:rsidRPr="00D6178D" w:rsidRDefault="006024E7" w:rsidP="00672950">
      <w:pPr>
        <w:spacing w:before="240"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Continuous Time</w:t>
      </w:r>
      <w:r w:rsidR="00D6178D">
        <w:rPr>
          <w:rFonts w:ascii="Century Gothic" w:hAnsi="Century Gothic" w:cs="Arial"/>
          <w:b/>
          <w:sz w:val="28"/>
          <w:szCs w:val="28"/>
        </w:rPr>
        <w:t xml:space="preserve"> Rates</w:t>
      </w:r>
    </w:p>
    <w:p w:rsidR="00D359E1" w:rsidRPr="00D6178D" w:rsidRDefault="00D359E1" w:rsidP="00D359E1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>If the annual return is 2.1%, find the continuous time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weekly return is 0.6%, find the continuous time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quarterly return is 3.4%, find the continuous time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monthly return is 1.1%, find the continuous time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daily return is 4 basis points, find the continuous time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continuous time return is 10%, find the annual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continuous time return is 11.8%, find the monthly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continuous time return is 9.1%, find the weekly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continuous time return is 4.5%, find the quarterly return.</w:t>
      </w:r>
    </w:p>
    <w:p w:rsidR="00D6178D" w:rsidRPr="00D6178D" w:rsidRDefault="00D6178D" w:rsidP="00D6178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59E1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continuous time return is 11.2%, find the semi-annual return.</w:t>
      </w:r>
    </w:p>
    <w:p w:rsidR="00D359E1" w:rsidRPr="00D6178D" w:rsidRDefault="00D359E1" w:rsidP="00D359E1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Arithmetic Average versus Geometric Average</w:t>
      </w:r>
    </w:p>
    <w:p w:rsidR="00D6178D" w:rsidRPr="00D6178D" w:rsidRDefault="00D6178D" w:rsidP="00D6178D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Find the arithmetic and geometric averages for the following series: </w:t>
      </w:r>
    </w:p>
    <w:p w:rsidR="00D6178D" w:rsidRPr="00D6178D" w:rsidRDefault="00D6178D" w:rsidP="00D6178D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Ind w:w="2008" w:type="dxa"/>
        <w:tblLook w:val="01E0" w:firstRow="1" w:lastRow="1" w:firstColumn="1" w:lastColumn="1" w:noHBand="0" w:noVBand="0"/>
      </w:tblPr>
      <w:tblGrid>
        <w:gridCol w:w="977"/>
      </w:tblGrid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10.1%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11.3%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lastRenderedPageBreak/>
              <w:t>14.0%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12.3%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15.7%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10.4%</w:t>
            </w:r>
          </w:p>
        </w:tc>
      </w:tr>
    </w:tbl>
    <w:p w:rsidR="00D6178D" w:rsidRPr="00D6178D" w:rsidRDefault="00D6178D" w:rsidP="00D6178D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 Find the arithmetic and geometric averages for the following series: </w:t>
      </w:r>
    </w:p>
    <w:p w:rsidR="00D6178D" w:rsidRPr="00D6178D" w:rsidRDefault="00D6178D" w:rsidP="00D6178D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Ind w:w="2008" w:type="dxa"/>
        <w:tblLook w:val="01E0" w:firstRow="1" w:lastRow="1" w:firstColumn="1" w:lastColumn="1" w:noHBand="0" w:noVBand="0"/>
      </w:tblPr>
      <w:tblGrid>
        <w:gridCol w:w="915"/>
      </w:tblGrid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0.163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0.123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0.130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0.141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0.120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0.091</w:t>
            </w:r>
          </w:p>
        </w:tc>
      </w:tr>
    </w:tbl>
    <w:p w:rsidR="00D6178D" w:rsidRPr="00D6178D" w:rsidRDefault="00D6178D" w:rsidP="00D6178D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396EAE" w:rsidRPr="00D6178D" w:rsidRDefault="00396EAE" w:rsidP="006024E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396EAE" w:rsidRPr="00D6178D" w:rsidRDefault="00396EAE" w:rsidP="00396EAE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br w:type="page"/>
      </w:r>
      <w:r w:rsidRPr="00D6178D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Solutions</w:t>
      </w:r>
    </w:p>
    <w:p w:rsidR="00672950" w:rsidRPr="00D6178D" w:rsidRDefault="00672950" w:rsidP="00672950">
      <w:pPr>
        <w:spacing w:line="240" w:lineRule="auto"/>
        <w:ind w:left="432" w:hanging="432"/>
        <w:jc w:val="center"/>
        <w:rPr>
          <w:rFonts w:ascii="Century Gothic" w:hAnsi="Century Gothic"/>
          <w:bCs/>
          <w:color w:val="000000"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Percentages and Basis Points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1% as a decimal and in basis points.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1% = 0.01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100 basis points</w:t>
      </w:r>
    </w:p>
    <w:p w:rsidR="00E01B12" w:rsidRPr="00D6178D" w:rsidRDefault="00E01B12" w:rsidP="00D306D7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E01B12" w:rsidRPr="00D6178D" w:rsidRDefault="00672950" w:rsidP="00E01B12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0.0025 as a percentage integer and in basis points.</w:t>
      </w:r>
    </w:p>
    <w:p w:rsidR="00E01B12" w:rsidRPr="00D6178D" w:rsidRDefault="00E01B12" w:rsidP="00E01B12">
      <w:pPr>
        <w:spacing w:line="240" w:lineRule="auto"/>
        <w:ind w:left="378"/>
        <w:rPr>
          <w:rFonts w:ascii="Century Gothic" w:hAnsi="Century Gothic" w:cs="Arial"/>
          <w:sz w:val="28"/>
          <w:szCs w:val="28"/>
        </w:rPr>
      </w:pPr>
    </w:p>
    <w:p w:rsidR="00E01B12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0.0025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0.25% = 25 basis points</w:t>
      </w:r>
    </w:p>
    <w:p w:rsidR="00672950" w:rsidRPr="00D6178D" w:rsidRDefault="00672950" w:rsidP="00672950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Express 15 basis points as a percentage integer and a decimal.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E01B12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15 basis points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0.15% = 0.0015</w:t>
      </w:r>
    </w:p>
    <w:p w:rsidR="00672950" w:rsidRPr="00D6178D" w:rsidRDefault="00672950" w:rsidP="00672950">
      <w:pPr>
        <w:spacing w:line="240" w:lineRule="auto"/>
        <w:ind w:left="115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Compound Rates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$100 grows to $500 in 5 years, what is the annual compound rate of interest?</w:t>
      </w:r>
    </w:p>
    <w:p w:rsidR="00E01B12" w:rsidRPr="00D6178D" w:rsidRDefault="00E01B12" w:rsidP="00E01B12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E01B12" w:rsidRPr="00D6178D" w:rsidRDefault="00E01B12" w:rsidP="00AE416D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P/Y = 1; N = 5; I/Y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37.97</w:t>
      </w:r>
      <w:r w:rsidRPr="00D6178D">
        <w:rPr>
          <w:rFonts w:ascii="Century Gothic" w:hAnsi="Century Gothic" w:cs="Arial"/>
          <w:sz w:val="28"/>
          <w:szCs w:val="28"/>
        </w:rPr>
        <w:t>; PV = -100; PMT = 0; FV = 500</w:t>
      </w:r>
    </w:p>
    <w:p w:rsidR="00672950" w:rsidRPr="00D6178D" w:rsidRDefault="00672950" w:rsidP="00672950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E01B12" w:rsidRPr="00D6178D" w:rsidRDefault="00672950" w:rsidP="00E01B12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$11.15 grows to $30.34 in 7 years, what is the annual compound rate of interest?</w:t>
      </w:r>
      <w:r w:rsidR="00E01B12" w:rsidRPr="00D6178D">
        <w:rPr>
          <w:rFonts w:ascii="Century Gothic" w:hAnsi="Century Gothic" w:cs="Arial"/>
          <w:sz w:val="28"/>
          <w:szCs w:val="28"/>
        </w:rPr>
        <w:t xml:space="preserve"> </w:t>
      </w:r>
    </w:p>
    <w:p w:rsidR="00E01B12" w:rsidRPr="00D6178D" w:rsidRDefault="00E01B12" w:rsidP="00E01B12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E01B12" w:rsidRPr="00D6178D" w:rsidRDefault="00E01B12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P/Y = 1; N = </w:t>
      </w:r>
      <w:r w:rsidR="00D306D7" w:rsidRPr="00D6178D">
        <w:rPr>
          <w:rFonts w:ascii="Century Gothic" w:hAnsi="Century Gothic" w:cs="Arial"/>
          <w:sz w:val="28"/>
          <w:szCs w:val="28"/>
        </w:rPr>
        <w:t>7</w:t>
      </w:r>
      <w:r w:rsidRPr="00D6178D">
        <w:rPr>
          <w:rFonts w:ascii="Century Gothic" w:hAnsi="Century Gothic" w:cs="Arial"/>
          <w:sz w:val="28"/>
          <w:szCs w:val="28"/>
        </w:rPr>
        <w:t xml:space="preserve">; I/Y = </w:t>
      </w:r>
      <w:r w:rsidR="00D306D7" w:rsidRPr="00D6178D">
        <w:rPr>
          <w:rFonts w:ascii="Century Gothic" w:hAnsi="Century Gothic" w:cs="Arial"/>
          <w:b/>
          <w:color w:val="FF0000"/>
          <w:sz w:val="28"/>
          <w:szCs w:val="28"/>
        </w:rPr>
        <w:t>15.37</w:t>
      </w:r>
      <w:r w:rsidRPr="00D6178D">
        <w:rPr>
          <w:rFonts w:ascii="Century Gothic" w:hAnsi="Century Gothic" w:cs="Arial"/>
          <w:sz w:val="28"/>
          <w:szCs w:val="28"/>
        </w:rPr>
        <w:t xml:space="preserve">; PV = </w:t>
      </w:r>
      <w:r w:rsidR="00D306D7" w:rsidRPr="00D6178D">
        <w:rPr>
          <w:rFonts w:ascii="Century Gothic" w:hAnsi="Century Gothic" w:cs="Arial"/>
          <w:sz w:val="28"/>
          <w:szCs w:val="28"/>
        </w:rPr>
        <w:t>11.15</w:t>
      </w:r>
      <w:r w:rsidRPr="00D6178D">
        <w:rPr>
          <w:rFonts w:ascii="Century Gothic" w:hAnsi="Century Gothic" w:cs="Arial"/>
          <w:sz w:val="28"/>
          <w:szCs w:val="28"/>
        </w:rPr>
        <w:t xml:space="preserve">; PMT = </w:t>
      </w:r>
      <w:r w:rsidR="00D306D7" w:rsidRPr="00D6178D">
        <w:rPr>
          <w:rFonts w:ascii="Century Gothic" w:hAnsi="Century Gothic" w:cs="Arial"/>
          <w:sz w:val="28"/>
          <w:szCs w:val="28"/>
        </w:rPr>
        <w:t>0</w:t>
      </w:r>
      <w:r w:rsidRPr="00D6178D">
        <w:rPr>
          <w:rFonts w:ascii="Century Gothic" w:hAnsi="Century Gothic" w:cs="Arial"/>
          <w:sz w:val="28"/>
          <w:szCs w:val="28"/>
        </w:rPr>
        <w:t xml:space="preserve">; FV = </w:t>
      </w:r>
      <w:r w:rsidR="00D306D7" w:rsidRPr="00D6178D">
        <w:rPr>
          <w:rFonts w:ascii="Century Gothic" w:hAnsi="Century Gothic" w:cs="Arial"/>
          <w:sz w:val="28"/>
          <w:szCs w:val="28"/>
        </w:rPr>
        <w:t>30.34</w:t>
      </w:r>
    </w:p>
    <w:p w:rsidR="00672950" w:rsidRPr="00D6178D" w:rsidRDefault="00672950" w:rsidP="00AE416D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Holding Period Return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$102.78 in June and $120.56 one month later, what is the holding period return?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24"/>
          <w:sz w:val="28"/>
          <w:szCs w:val="28"/>
        </w:rPr>
        <w:object w:dxaOrig="3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05pt;height:31.45pt" o:ole="" filled="t">
            <v:imagedata r:id="rId6" o:title=""/>
          </v:shape>
          <o:OLEObject Type="Embed" ProgID="Equation.DSMT4" ShapeID="_x0000_i1025" DrawAspect="Content" ObjectID="_1527762984" r:id="rId7"/>
        </w:object>
      </w:r>
    </w:p>
    <w:p w:rsidR="00030497" w:rsidRPr="00D6178D" w:rsidRDefault="00030497" w:rsidP="0003049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P/Y = 1; N = 1; I/Y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17.30</w:t>
      </w:r>
      <w:r w:rsidRPr="00D6178D">
        <w:rPr>
          <w:rFonts w:ascii="Century Gothic" w:hAnsi="Century Gothic" w:cs="Arial"/>
          <w:sz w:val="28"/>
          <w:szCs w:val="28"/>
        </w:rPr>
        <w:t>; PV = -120.56; PMT = 0; FV = 102.78</w: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$45.00 in May and $43.55 one month later, what is the holding period return?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24"/>
          <w:sz w:val="28"/>
          <w:szCs w:val="28"/>
        </w:rPr>
        <w:object w:dxaOrig="3340" w:dyaOrig="620">
          <v:shape id="_x0000_i1026" type="#_x0000_t75" style="width:167.05pt;height:31.45pt" o:ole="" filled="t">
            <v:imagedata r:id="rId8" o:title=""/>
          </v:shape>
          <o:OLEObject Type="Embed" ProgID="Equation.DSMT4" ShapeID="_x0000_i1026" DrawAspect="Content" ObjectID="_1527762985" r:id="rId9"/>
        </w:object>
      </w:r>
    </w:p>
    <w:p w:rsidR="00030497" w:rsidRPr="00D6178D" w:rsidRDefault="00030497" w:rsidP="0003049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P/Y = 1; N = 1; I/Y = </w:t>
      </w:r>
      <w:r w:rsidRPr="00D6178D">
        <w:rPr>
          <w:rFonts w:ascii="Century Gothic" w:hAnsi="Century Gothic" w:cs="Arial"/>
          <w:b/>
          <w:color w:val="FF0000"/>
          <w:sz w:val="28"/>
          <w:szCs w:val="28"/>
        </w:rPr>
        <w:t>-3.22</w:t>
      </w:r>
      <w:r w:rsidRPr="00D6178D">
        <w:rPr>
          <w:rFonts w:ascii="Century Gothic" w:hAnsi="Century Gothic" w:cs="Arial"/>
          <w:sz w:val="28"/>
          <w:szCs w:val="28"/>
        </w:rPr>
        <w:t>; PV = -45.00; PMT = 0; FV = 43.55</w: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Find the monthly holding period returns:</w:t>
      </w:r>
    </w:p>
    <w:p w:rsidR="00672950" w:rsidRPr="00D6178D" w:rsidRDefault="00672950" w:rsidP="00672950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225"/>
      </w:tblGrid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Price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$99.76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January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$101.56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February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$105.67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March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$110.55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April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$102.77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$107.45</w:t>
            </w:r>
          </w:p>
        </w:tc>
      </w:tr>
    </w:tbl>
    <w:p w:rsidR="00D306D7" w:rsidRPr="00D6178D" w:rsidRDefault="00D306D7" w:rsidP="00D306D7">
      <w:pPr>
        <w:spacing w:line="240" w:lineRule="auto"/>
        <w:ind w:left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D306D7" w:rsidP="00AE416D">
      <w:pPr>
        <w:spacing w:line="240" w:lineRule="auto"/>
        <w:ind w:left="720" w:firstLine="720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position w:val="-154"/>
          <w:sz w:val="28"/>
          <w:szCs w:val="28"/>
        </w:rPr>
        <w:object w:dxaOrig="3820" w:dyaOrig="3220">
          <v:shape id="_x0000_i1027" type="#_x0000_t75" style="width:191.55pt;height:163.55pt" o:ole="" filled="t">
            <v:imagedata r:id="rId10" o:title=""/>
          </v:shape>
          <o:OLEObject Type="Embed" ProgID="Equation.DSMT4" ShapeID="_x0000_i1027" DrawAspect="Content" ObjectID="_1527762986" r:id="rId11"/>
        </w:object>
      </w:r>
    </w:p>
    <w:p w:rsidR="00D306D7" w:rsidRPr="00D6178D" w:rsidRDefault="00D306D7" w:rsidP="00D306D7">
      <w:pPr>
        <w:spacing w:line="240" w:lineRule="auto"/>
        <w:ind w:left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 xml:space="preserve">Annual Percentage Rate (APR) 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$103.45 in June and $105.11 one month later, what is the APR?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position w:val="-42"/>
          <w:sz w:val="28"/>
          <w:szCs w:val="28"/>
        </w:rPr>
        <w:object w:dxaOrig="3420" w:dyaOrig="960">
          <v:shape id="_x0000_i1028" type="#_x0000_t75" style="width:171.95pt;height:48.95pt" o:ole="" filled="t">
            <v:imagedata r:id="rId12" o:title=""/>
          </v:shape>
          <o:OLEObject Type="Embed" ProgID="Equation.DSMT4" ShapeID="_x0000_i1028" DrawAspect="Content" ObjectID="_1527762987" r:id="rId13"/>
        </w:objec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$45.00 in May and $43.55 one month later, what is the APR?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42"/>
          <w:sz w:val="28"/>
          <w:szCs w:val="28"/>
        </w:rPr>
        <w:object w:dxaOrig="3400" w:dyaOrig="960">
          <v:shape id="_x0000_i1029" type="#_x0000_t75" style="width:169.85pt;height:48.95pt" o:ole="" filled="t">
            <v:imagedata r:id="rId14" o:title=""/>
          </v:shape>
          <o:OLEObject Type="Embed" ProgID="Equation.DSMT4" ShapeID="_x0000_i1029" DrawAspect="Content" ObjectID="_1527762988" r:id="rId15"/>
        </w:objec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APR (based on monthly data) is 15.6%, what is the EAR?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28"/>
          <w:sz w:val="28"/>
          <w:szCs w:val="28"/>
        </w:rPr>
        <w:object w:dxaOrig="3620" w:dyaOrig="740">
          <v:shape id="_x0000_i1030" type="#_x0000_t75" style="width:181.75pt;height:37.75pt" o:ole="" filled="t">
            <v:imagedata r:id="rId16" o:title=""/>
          </v:shape>
          <o:OLEObject Type="Embed" ProgID="Equation.DSMT4" ShapeID="_x0000_i1030" DrawAspect="Content" ObjectID="_1527762989" r:id="rId17"/>
        </w:object>
      </w:r>
    </w:p>
    <w:p w:rsidR="00030497" w:rsidRPr="00D6178D" w:rsidRDefault="00030497" w:rsidP="00030497">
      <w:pPr>
        <w:spacing w:line="240" w:lineRule="auto"/>
        <w:ind w:left="738" w:firstLine="702"/>
        <w:rPr>
          <w:rFonts w:ascii="Century Gothic" w:hAnsi="Century Gothic" w:cs="Arial"/>
          <w:b/>
          <w:sz w:val="28"/>
          <w:szCs w:val="28"/>
        </w:rPr>
      </w:pPr>
    </w:p>
    <w:p w:rsidR="00030497" w:rsidRPr="00D6178D" w:rsidRDefault="00030497" w:rsidP="0003049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NOTE: Your calculator may have a function to convert APR to EAR.</w: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APR (based on quarterly data) is 12.5%, what is the EAR?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28"/>
          <w:sz w:val="28"/>
          <w:szCs w:val="28"/>
        </w:rPr>
        <w:object w:dxaOrig="3560" w:dyaOrig="740">
          <v:shape id="_x0000_i1031" type="#_x0000_t75" style="width:178.25pt;height:37.75pt" o:ole="" filled="t">
            <v:imagedata r:id="rId18" o:title=""/>
          </v:shape>
          <o:OLEObject Type="Embed" ProgID="Equation.DSMT4" ShapeID="_x0000_i1031" DrawAspect="Content" ObjectID="_1527762990" r:id="rId19"/>
        </w:object>
      </w:r>
    </w:p>
    <w:p w:rsidR="00672950" w:rsidRPr="00D6178D" w:rsidRDefault="00672950" w:rsidP="00672950">
      <w:pPr>
        <w:spacing w:line="240" w:lineRule="auto"/>
        <w:ind w:left="72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EAR is 17.8%, what is the APR (based on weekly data)?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62"/>
          <w:sz w:val="28"/>
          <w:szCs w:val="28"/>
        </w:rPr>
        <w:object w:dxaOrig="3700" w:dyaOrig="3560">
          <v:shape id="_x0000_i1032" type="#_x0000_t75" style="width:185.25pt;height:180.35pt" o:ole="" filled="t">
            <v:imagedata r:id="rId20" o:title=""/>
          </v:shape>
          <o:OLEObject Type="Embed" ProgID="Equation.DSMT4" ShapeID="_x0000_i1032" DrawAspect="Content" ObjectID="_1527762991" r:id="rId21"/>
        </w:object>
      </w:r>
    </w:p>
    <w:p w:rsidR="00030497" w:rsidRPr="00D6178D" w:rsidRDefault="00030497" w:rsidP="00030497">
      <w:pPr>
        <w:spacing w:line="240" w:lineRule="auto"/>
        <w:ind w:left="738" w:firstLine="702"/>
        <w:rPr>
          <w:rFonts w:ascii="Century Gothic" w:hAnsi="Century Gothic" w:cs="Arial"/>
          <w:b/>
          <w:sz w:val="28"/>
          <w:szCs w:val="28"/>
        </w:rPr>
      </w:pPr>
    </w:p>
    <w:p w:rsidR="00030497" w:rsidRPr="00D6178D" w:rsidRDefault="00030497" w:rsidP="0003049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NOTE: Your calculator may have a function to convert EAR to APR.</w:t>
      </w:r>
    </w:p>
    <w:p w:rsidR="00672950" w:rsidRPr="00D6178D" w:rsidRDefault="00672950" w:rsidP="00672950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 xml:space="preserve">Effective Annual Return (EAR) 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$102.78 in June and $120.56 one month later, what is the EAR?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4"/>
          <w:sz w:val="28"/>
          <w:szCs w:val="28"/>
        </w:rPr>
        <w:object w:dxaOrig="3420" w:dyaOrig="440">
          <v:shape id="_x0000_i1033" type="#_x0000_t75" style="width:171.95pt;height:22.35pt" o:ole="" filled="t">
            <v:imagedata r:id="rId22" o:title=""/>
          </v:shape>
          <o:OLEObject Type="Embed" ProgID="Equation.DSMT4" ShapeID="_x0000_i1033" DrawAspect="Content" ObjectID="_1527762992" r:id="rId23"/>
        </w:object>
      </w:r>
    </w:p>
    <w:p w:rsidR="00672950" w:rsidRPr="00D6178D" w:rsidRDefault="00672950" w:rsidP="00672950">
      <w:pPr>
        <w:spacing w:line="240" w:lineRule="auto"/>
        <w:ind w:left="720" w:hanging="360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a stock price is $45.00 in May and $43.55 one month later, what is the EAR?</w:t>
      </w:r>
    </w:p>
    <w:p w:rsidR="00D306D7" w:rsidRPr="00D6178D" w:rsidRDefault="00D306D7" w:rsidP="00D306D7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306D7" w:rsidRPr="00D6178D" w:rsidRDefault="00D306D7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4"/>
          <w:sz w:val="28"/>
          <w:szCs w:val="28"/>
        </w:rPr>
        <w:object w:dxaOrig="3680" w:dyaOrig="440">
          <v:shape id="_x0000_i1034" type="#_x0000_t75" style="width:184.55pt;height:22.35pt" o:ole="" filled="t">
            <v:imagedata r:id="rId24" o:title=""/>
          </v:shape>
          <o:OLEObject Type="Embed" ProgID="Equation.DSMT4" ShapeID="_x0000_i1034" DrawAspect="Content" ObjectID="_1527762993" r:id="rId25"/>
        </w:object>
      </w:r>
    </w:p>
    <w:p w:rsidR="00672950" w:rsidRPr="00D6178D" w:rsidRDefault="00672950" w:rsidP="00672950">
      <w:pPr>
        <w:spacing w:line="240" w:lineRule="auto"/>
        <w:ind w:left="720" w:hanging="360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Find the monthly EAR (this is the same data as about, so you can begin with those results</w:t>
      </w:r>
      <w:r w:rsidR="003D0382" w:rsidRPr="00D6178D">
        <w:rPr>
          <w:rFonts w:ascii="Century Gothic" w:hAnsi="Century Gothic" w:cs="Arial"/>
          <w:sz w:val="28"/>
          <w:szCs w:val="28"/>
        </w:rPr>
        <w:t>)</w:t>
      </w:r>
      <w:r w:rsidRPr="00D6178D">
        <w:rPr>
          <w:rFonts w:ascii="Century Gothic" w:hAnsi="Century Gothic" w:cs="Arial"/>
          <w:sz w:val="28"/>
          <w:szCs w:val="28"/>
        </w:rPr>
        <w:t xml:space="preserve">: </w:t>
      </w:r>
    </w:p>
    <w:p w:rsidR="00672950" w:rsidRPr="00D6178D" w:rsidRDefault="00672950" w:rsidP="00672950">
      <w:pPr>
        <w:spacing w:line="240" w:lineRule="auto"/>
        <w:ind w:left="1152" w:hanging="432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225"/>
      </w:tblGrid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Month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Price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December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$99.76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January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$101.56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February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$105.67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March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$110.55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April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$102.77</w:t>
            </w:r>
          </w:p>
        </w:tc>
      </w:tr>
      <w:tr w:rsidR="00672950" w:rsidRPr="00D6178D" w:rsidTr="001B4971"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May</w:t>
            </w:r>
          </w:p>
        </w:tc>
        <w:tc>
          <w:tcPr>
            <w:tcW w:w="0" w:type="auto"/>
          </w:tcPr>
          <w:p w:rsidR="00672950" w:rsidRPr="00D6178D" w:rsidRDefault="00672950" w:rsidP="001B4971">
            <w:pPr>
              <w:tabs>
                <w:tab w:val="left" w:pos="432"/>
              </w:tabs>
              <w:spacing w:line="240" w:lineRule="auto"/>
              <w:ind w:left="432" w:hanging="432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$107.45</w:t>
            </w:r>
          </w:p>
        </w:tc>
      </w:tr>
    </w:tbl>
    <w:p w:rsidR="00672950" w:rsidRPr="00D6178D" w:rsidRDefault="00672950" w:rsidP="00672950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3D0382" w:rsidRPr="00D6178D" w:rsidRDefault="003D0382" w:rsidP="00AE416D">
      <w:pPr>
        <w:spacing w:line="240" w:lineRule="auto"/>
        <w:ind w:left="720" w:firstLine="720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08"/>
          <w:sz w:val="28"/>
          <w:szCs w:val="28"/>
        </w:rPr>
        <w:object w:dxaOrig="3940" w:dyaOrig="2320">
          <v:shape id="_x0000_i1035" type="#_x0000_t75" style="width:197.15pt;height:117.45pt" o:ole="" filled="t">
            <v:imagedata r:id="rId26" o:title=""/>
          </v:shape>
          <o:OLEObject Type="Embed" ProgID="Equation.DSMT4" ShapeID="_x0000_i1035" DrawAspect="Content" ObjectID="_1527762994" r:id="rId27"/>
        </w:object>
      </w:r>
    </w:p>
    <w:p w:rsidR="003D0382" w:rsidRPr="00D6178D" w:rsidRDefault="003D0382" w:rsidP="00672950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Annual and Non-Annual Rate Conversions</w:t>
      </w:r>
    </w:p>
    <w:p w:rsidR="00672950" w:rsidRPr="00D6178D" w:rsidRDefault="00672950" w:rsidP="00672950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monthly return is 2.1%, find the daily (365 days in a year), weekly, quarterly, semi-annual and annual returns.</w:t>
      </w:r>
    </w:p>
    <w:p w:rsidR="000E30D0" w:rsidRPr="00D6178D" w:rsidRDefault="000E30D0" w:rsidP="000E30D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Pr="00D6178D" w:rsidRDefault="000E30D0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26"/>
          <w:sz w:val="28"/>
          <w:szCs w:val="28"/>
        </w:rPr>
        <w:object w:dxaOrig="3680" w:dyaOrig="2680">
          <v:shape id="_x0000_i1036" type="#_x0000_t75" style="width:184.55pt;height:136.3pt" o:ole="" filled="t">
            <v:imagedata r:id="rId28" o:title=""/>
          </v:shape>
          <o:OLEObject Type="Embed" ProgID="Equation.DSMT4" ShapeID="_x0000_i1036" DrawAspect="Content" ObjectID="_1527762995" r:id="rId29"/>
        </w:object>
      </w:r>
    </w:p>
    <w:p w:rsidR="00672950" w:rsidRPr="00D6178D" w:rsidRDefault="00672950" w:rsidP="00672950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weekly return is 0.6%, find the daily (365 days in a year), monthly, quarterly, semi-annual and annual returns.</w:t>
      </w:r>
    </w:p>
    <w:p w:rsidR="000E30D0" w:rsidRPr="00D6178D" w:rsidRDefault="000E30D0" w:rsidP="000E30D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Pr="00D6178D" w:rsidRDefault="000E30D0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26"/>
          <w:sz w:val="28"/>
          <w:szCs w:val="28"/>
        </w:rPr>
        <w:object w:dxaOrig="3680" w:dyaOrig="2680">
          <v:shape id="_x0000_i1037" type="#_x0000_t75" style="width:184.55pt;height:136.3pt" o:ole="" filled="t">
            <v:imagedata r:id="rId30" o:title=""/>
          </v:shape>
          <o:OLEObject Type="Embed" ProgID="Equation.DSMT4" ShapeID="_x0000_i1037" DrawAspect="Content" ObjectID="_1527762996" r:id="rId31"/>
        </w:object>
      </w:r>
    </w:p>
    <w:p w:rsidR="00672950" w:rsidRPr="00D6178D" w:rsidRDefault="00672950" w:rsidP="00672950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>If the annual return is 10.1%, find the daily (365 days in a year), weekly, monthly, quarterly, and semi-annual returns.</w:t>
      </w:r>
    </w:p>
    <w:p w:rsidR="000E30D0" w:rsidRPr="00D6178D" w:rsidRDefault="000E30D0" w:rsidP="000E30D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0E30D0" w:rsidRPr="00D6178D" w:rsidRDefault="000E30D0" w:rsidP="00AE416D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26"/>
          <w:sz w:val="28"/>
          <w:szCs w:val="28"/>
        </w:rPr>
        <w:object w:dxaOrig="3400" w:dyaOrig="2780">
          <v:shape id="_x0000_i1038" type="#_x0000_t75" style="width:169.85pt;height:141.2pt" o:ole="" filled="t">
            <v:imagedata r:id="rId32" o:title=""/>
          </v:shape>
          <o:OLEObject Type="Embed" ProgID="Equation.DSMT4" ShapeID="_x0000_i1038" DrawAspect="Content" ObjectID="_1527762997" r:id="rId33"/>
        </w:object>
      </w:r>
    </w:p>
    <w:p w:rsidR="00672950" w:rsidRPr="00D6178D" w:rsidRDefault="00672950" w:rsidP="00672950">
      <w:pPr>
        <w:spacing w:line="240" w:lineRule="auto"/>
        <w:ind w:left="810" w:hanging="432"/>
        <w:rPr>
          <w:rFonts w:ascii="Century Gothic" w:hAnsi="Century Gothic" w:cs="Arial"/>
          <w:sz w:val="28"/>
          <w:szCs w:val="28"/>
        </w:rPr>
      </w:pPr>
    </w:p>
    <w:p w:rsidR="00672950" w:rsidRPr="00D6178D" w:rsidRDefault="00672950" w:rsidP="00672950">
      <w:pPr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If the daily return is 5 basis points (365 days in a year), find the weekly, monthly, quarterly, semi-annual, and annual returns.</w:t>
      </w:r>
    </w:p>
    <w:p w:rsidR="000E30D0" w:rsidRPr="00D6178D" w:rsidRDefault="000E30D0" w:rsidP="000E30D0">
      <w:pPr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6024E7" w:rsidRPr="00D6178D" w:rsidRDefault="000E30D0" w:rsidP="006024E7">
      <w:pPr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b/>
          <w:position w:val="-126"/>
          <w:sz w:val="28"/>
          <w:szCs w:val="28"/>
        </w:rPr>
        <w:object w:dxaOrig="3540" w:dyaOrig="2680">
          <v:shape id="_x0000_i1039" type="#_x0000_t75" style="width:177.55pt;height:136.3pt" o:ole="" filled="t">
            <v:imagedata r:id="rId34" o:title=""/>
          </v:shape>
          <o:OLEObject Type="Embed" ProgID="Equation.DSMT4" ShapeID="_x0000_i1039" DrawAspect="Content" ObjectID="_1527762998" r:id="rId35"/>
        </w:object>
      </w:r>
    </w:p>
    <w:p w:rsidR="006024E7" w:rsidRPr="00D6178D" w:rsidRDefault="006024E7" w:rsidP="006024E7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6024E7" w:rsidRPr="00D6178D" w:rsidRDefault="006024E7" w:rsidP="006024E7">
      <w:pPr>
        <w:spacing w:before="240"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Continuous Time</w:t>
      </w:r>
    </w:p>
    <w:p w:rsidR="006024E7" w:rsidRPr="00D6178D" w:rsidRDefault="006024E7" w:rsidP="006024E7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i/>
          <w:sz w:val="28"/>
          <w:szCs w:val="28"/>
        </w:rPr>
      </w:pPr>
      <w:r w:rsidRPr="00D6178D">
        <w:rPr>
          <w:rFonts w:ascii="Century Gothic" w:hAnsi="Century Gothic" w:cs="Arial"/>
          <w:i/>
          <w:sz w:val="28"/>
          <w:szCs w:val="28"/>
        </w:rPr>
        <w:t>NOTE: When converting a non-annual rate to a continuous time rate, first find the EAR, then the continuous time rate.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1. If the annual return is 2.1%, find the continuous time return.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ab/>
      </w:r>
      <w:r w:rsidRPr="00D6178D">
        <w:rPr>
          <w:rFonts w:ascii="Century Gothic" w:hAnsi="Century Gothic"/>
          <w:position w:val="-32"/>
          <w:sz w:val="28"/>
          <w:szCs w:val="28"/>
        </w:rPr>
        <w:object w:dxaOrig="1440" w:dyaOrig="760">
          <v:shape id="_x0000_i1040" type="#_x0000_t75" style="width:1in;height:38.45pt" o:ole="" filled="t">
            <v:imagedata r:id="rId36" o:title=""/>
          </v:shape>
          <o:OLEObject Type="Embed" ProgID="Equation.DSMT4" ShapeID="_x0000_i1040" DrawAspect="Content" ObjectID="_1527762999" r:id="rId37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2. If the weekly return is 0.6%, find the continuous time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2"/>
          <w:sz w:val="28"/>
          <w:szCs w:val="28"/>
        </w:rPr>
        <w:object w:dxaOrig="3159" w:dyaOrig="1240">
          <v:shape id="_x0000_i1041" type="#_x0000_t75" style="width:158pt;height:62.9pt" o:ole="" filled="t">
            <v:imagedata r:id="rId38" o:title=""/>
          </v:shape>
          <o:OLEObject Type="Embed" ProgID="Equation.DSMT4" ShapeID="_x0000_i1041" DrawAspect="Content" ObjectID="_1527763000" r:id="rId39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3. If the quarterly return is 3.4%, find the continuous time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2"/>
          <w:sz w:val="28"/>
          <w:szCs w:val="28"/>
        </w:rPr>
        <w:object w:dxaOrig="3060" w:dyaOrig="1240">
          <v:shape id="_x0000_i1042" type="#_x0000_t75" style="width:153.8pt;height:62.9pt" o:ole="" filled="t">
            <v:imagedata r:id="rId40" o:title=""/>
          </v:shape>
          <o:OLEObject Type="Embed" ProgID="Equation.DSMT4" ShapeID="_x0000_i1042" DrawAspect="Content" ObjectID="_1527763001" r:id="rId41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4. If the monthly return is 1.1%, find the continuous time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2"/>
          <w:sz w:val="28"/>
          <w:szCs w:val="28"/>
        </w:rPr>
        <w:object w:dxaOrig="3100" w:dyaOrig="1240">
          <v:shape id="_x0000_i1043" type="#_x0000_t75" style="width:155.2pt;height:62.9pt" o:ole="" filled="t">
            <v:imagedata r:id="rId42" o:title=""/>
          </v:shape>
          <o:OLEObject Type="Embed" ProgID="Equation.DSMT4" ShapeID="_x0000_i1043" DrawAspect="Content" ObjectID="_1527763002" r:id="rId43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5. If the daily return is 4 basis points, find the continuous time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2"/>
          <w:sz w:val="28"/>
          <w:szCs w:val="28"/>
        </w:rPr>
        <w:object w:dxaOrig="3360" w:dyaOrig="1240">
          <v:shape id="_x0000_i1044" type="#_x0000_t75" style="width:168.45pt;height:62.9pt" o:ole="" filled="t">
            <v:imagedata r:id="rId44" o:title=""/>
          </v:shape>
          <o:OLEObject Type="Embed" ProgID="Equation.DSMT4" ShapeID="_x0000_i1044" DrawAspect="Content" ObjectID="_1527763003" r:id="rId45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6. If the continuous time return is 10%, find the annual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ab/>
      </w:r>
      <w:r w:rsidRPr="00D6178D">
        <w:rPr>
          <w:rFonts w:ascii="Century Gothic" w:hAnsi="Century Gothic"/>
          <w:position w:val="-28"/>
          <w:sz w:val="28"/>
          <w:szCs w:val="28"/>
        </w:rPr>
        <w:object w:dxaOrig="1640" w:dyaOrig="680">
          <v:shape id="_x0000_i1045" type="#_x0000_t75" style="width:82.5pt;height:34.25pt" o:ole="" filled="t">
            <v:imagedata r:id="rId46" o:title=""/>
          </v:shape>
          <o:OLEObject Type="Embed" ProgID="Equation.DSMT4" ShapeID="_x0000_i1045" DrawAspect="Content" ObjectID="_1527763004" r:id="rId47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7. If the continuous time return is 11.8%, find the monthly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4"/>
          <w:sz w:val="28"/>
          <w:szCs w:val="28"/>
        </w:rPr>
        <w:object w:dxaOrig="2700" w:dyaOrig="1320">
          <v:shape id="_x0000_i1046" type="#_x0000_t75" style="width:135.6pt;height:66.4pt" o:ole="" filled="t">
            <v:imagedata r:id="rId48" o:title=""/>
          </v:shape>
          <o:OLEObject Type="Embed" ProgID="Equation.DSMT4" ShapeID="_x0000_i1046" DrawAspect="Content" ObjectID="_1527763005" r:id="rId49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>8. If the continuous time return is 9.1%, find the weekly return.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4"/>
          <w:sz w:val="28"/>
          <w:szCs w:val="28"/>
        </w:rPr>
        <w:object w:dxaOrig="2560" w:dyaOrig="1320">
          <v:shape id="_x0000_i1047" type="#_x0000_t75" style="width:127.9pt;height:66.4pt" o:ole="" filled="t">
            <v:imagedata r:id="rId50" o:title=""/>
          </v:shape>
          <o:OLEObject Type="Embed" ProgID="Equation.DSMT4" ShapeID="_x0000_i1047" DrawAspect="Content" ObjectID="_1527763006" r:id="rId51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9. If the continuous time return is 4.5%, find the quarterly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 w:firstLine="702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/>
          <w:position w:val="-54"/>
          <w:sz w:val="28"/>
          <w:szCs w:val="28"/>
        </w:rPr>
        <w:object w:dxaOrig="2580" w:dyaOrig="1320">
          <v:shape id="_x0000_i1048" type="#_x0000_t75" style="width:130pt;height:66.4pt" o:ole="" filled="t">
            <v:imagedata r:id="rId52" o:title=""/>
          </v:shape>
          <o:OLEObject Type="Embed" ProgID="Equation.DSMT4" ShapeID="_x0000_i1048" DrawAspect="Content" ObjectID="_1527763007" r:id="rId53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10. If the continuous time return is 11.2%, find the semi-annual return.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54"/>
          <w:sz w:val="28"/>
          <w:szCs w:val="28"/>
        </w:rPr>
        <w:object w:dxaOrig="2700" w:dyaOrig="1320">
          <v:shape id="_x0000_i1049" type="#_x0000_t75" style="width:135.6pt;height:66.4pt" o:ole="" filled="t">
            <v:imagedata r:id="rId54" o:title=""/>
          </v:shape>
          <o:OLEObject Type="Embed" ProgID="Equation.DSMT4" ShapeID="_x0000_i1049" DrawAspect="Content" ObjectID="_1527763008" r:id="rId55"/>
        </w:object>
      </w:r>
    </w:p>
    <w:p w:rsidR="00D6178D" w:rsidRPr="00D6178D" w:rsidRDefault="00D6178D" w:rsidP="00D6178D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spacing w:line="240" w:lineRule="auto"/>
        <w:rPr>
          <w:rFonts w:ascii="Century Gothic" w:hAnsi="Century Gothic" w:cs="Arial"/>
          <w:b/>
          <w:sz w:val="28"/>
          <w:szCs w:val="28"/>
        </w:rPr>
      </w:pPr>
      <w:r w:rsidRPr="00D6178D">
        <w:rPr>
          <w:rFonts w:ascii="Century Gothic" w:hAnsi="Century Gothic" w:cs="Arial"/>
          <w:b/>
          <w:sz w:val="28"/>
          <w:szCs w:val="28"/>
        </w:rPr>
        <w:t>Arithmetic Average versus Geometric Average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lastRenderedPageBreak/>
        <w:t xml:space="preserve">1. Find the arithmetic and geometric averages for the following series: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Ind w:w="2008" w:type="dxa"/>
        <w:tblLook w:val="01E0" w:firstRow="1" w:lastRow="1" w:firstColumn="1" w:lastColumn="1" w:noHBand="0" w:noVBand="0"/>
      </w:tblPr>
      <w:tblGrid>
        <w:gridCol w:w="977"/>
      </w:tblGrid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10.1%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11.3%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14.0%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12.3%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15.7%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10.4%</w:t>
            </w:r>
          </w:p>
        </w:tc>
      </w:tr>
    </w:tbl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48"/>
          <w:sz w:val="28"/>
          <w:szCs w:val="28"/>
        </w:rPr>
        <w:object w:dxaOrig="6380" w:dyaOrig="1080">
          <v:shape id="_x0000_i1050" type="#_x0000_t75" style="width:320.15pt;height:54.5pt" o:ole="" filled="t">
            <v:imagedata r:id="rId56" o:title=""/>
          </v:shape>
          <o:OLEObject Type="Embed" ProgID="Equation.DSMT4" ShapeID="_x0000_i1050" DrawAspect="Content" ObjectID="_1527763009" r:id="rId57"/>
        </w:objec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 xml:space="preserve">2. Find the arithmetic and geometric averages for the following series: </w:t>
      </w: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W w:w="0" w:type="auto"/>
        <w:tblInd w:w="2008" w:type="dxa"/>
        <w:tblLook w:val="01E0" w:firstRow="1" w:lastRow="1" w:firstColumn="1" w:lastColumn="1" w:noHBand="0" w:noVBand="0"/>
      </w:tblPr>
      <w:tblGrid>
        <w:gridCol w:w="915"/>
      </w:tblGrid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0.163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0.123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0.130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0.141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0.120</w:t>
            </w:r>
          </w:p>
        </w:tc>
      </w:tr>
      <w:tr w:rsidR="00D6178D" w:rsidRPr="00D6178D" w:rsidTr="00925E8E">
        <w:tc>
          <w:tcPr>
            <w:tcW w:w="0" w:type="auto"/>
          </w:tcPr>
          <w:p w:rsidR="00D6178D" w:rsidRPr="00D6178D" w:rsidRDefault="00D6178D" w:rsidP="00925E8E">
            <w:pPr>
              <w:spacing w:line="24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D6178D">
              <w:rPr>
                <w:rFonts w:ascii="Century Gothic" w:hAnsi="Century Gothic" w:cs="Arial"/>
                <w:sz w:val="28"/>
                <w:szCs w:val="28"/>
              </w:rPr>
              <w:t>0.091</w:t>
            </w:r>
          </w:p>
        </w:tc>
      </w:tr>
    </w:tbl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 w:rsidP="00D6178D">
      <w:pPr>
        <w:pStyle w:val="ListParagraph"/>
        <w:spacing w:line="240" w:lineRule="auto"/>
        <w:ind w:left="738"/>
        <w:rPr>
          <w:rFonts w:ascii="Century Gothic" w:hAnsi="Century Gothic" w:cs="Arial"/>
          <w:sz w:val="28"/>
          <w:szCs w:val="28"/>
        </w:rPr>
      </w:pPr>
      <w:r w:rsidRPr="00D6178D">
        <w:rPr>
          <w:rFonts w:ascii="Century Gothic" w:hAnsi="Century Gothic" w:cs="Arial"/>
          <w:sz w:val="28"/>
          <w:szCs w:val="28"/>
        </w:rPr>
        <w:tab/>
      </w:r>
      <w:r w:rsidRPr="00D6178D">
        <w:rPr>
          <w:rFonts w:ascii="Century Gothic" w:hAnsi="Century Gothic"/>
          <w:position w:val="-48"/>
          <w:sz w:val="28"/>
          <w:szCs w:val="28"/>
        </w:rPr>
        <w:object w:dxaOrig="6360" w:dyaOrig="1080">
          <v:shape id="_x0000_i1051" type="#_x0000_t75" style="width:318.75pt;height:54.5pt" o:ole="" filled="t">
            <v:imagedata r:id="rId58" o:title=""/>
          </v:shape>
          <o:OLEObject Type="Embed" ProgID="Equation.DSMT4" ShapeID="_x0000_i1051" DrawAspect="Content" ObjectID="_1527763010" r:id="rId59"/>
        </w:object>
      </w:r>
    </w:p>
    <w:p w:rsidR="00672950" w:rsidRPr="00D6178D" w:rsidRDefault="00672950" w:rsidP="006024E7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p w:rsidR="00D6178D" w:rsidRPr="00D6178D" w:rsidRDefault="00D6178D">
      <w:pPr>
        <w:spacing w:line="240" w:lineRule="auto"/>
        <w:rPr>
          <w:rFonts w:ascii="Century Gothic" w:hAnsi="Century Gothic" w:cs="Arial"/>
          <w:sz w:val="28"/>
          <w:szCs w:val="28"/>
        </w:rPr>
      </w:pPr>
    </w:p>
    <w:sectPr w:rsidR="00D6178D" w:rsidRPr="00D6178D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6FE"/>
    <w:multiLevelType w:val="hybridMultilevel"/>
    <w:tmpl w:val="9482AD92"/>
    <w:lvl w:ilvl="0" w:tplc="5460823A">
      <w:start w:val="1"/>
      <w:numFmt w:val="decimal"/>
      <w:lvlText w:val="%1."/>
      <w:lvlJc w:val="left"/>
      <w:pPr>
        <w:ind w:left="185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E7293"/>
    <w:multiLevelType w:val="hybridMultilevel"/>
    <w:tmpl w:val="DBF83A40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209A"/>
    <w:multiLevelType w:val="hybridMultilevel"/>
    <w:tmpl w:val="B3182254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F3F478C"/>
    <w:multiLevelType w:val="hybridMultilevel"/>
    <w:tmpl w:val="F45638C4"/>
    <w:lvl w:ilvl="0" w:tplc="3B0A5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A1FCD"/>
    <w:multiLevelType w:val="hybridMultilevel"/>
    <w:tmpl w:val="6882AB12"/>
    <w:lvl w:ilvl="0" w:tplc="0409000F">
      <w:start w:val="1"/>
      <w:numFmt w:val="decimal"/>
      <w:lvlText w:val="%1.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2" w15:restartNumberingAfterBreak="0">
    <w:nsid w:val="31997C9A"/>
    <w:multiLevelType w:val="hybridMultilevel"/>
    <w:tmpl w:val="6284F772"/>
    <w:lvl w:ilvl="0" w:tplc="5460823A">
      <w:start w:val="1"/>
      <w:numFmt w:val="decimal"/>
      <w:lvlText w:val="%1."/>
      <w:lvlJc w:val="left"/>
      <w:pPr>
        <w:ind w:left="111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4BA12083"/>
    <w:multiLevelType w:val="hybridMultilevel"/>
    <w:tmpl w:val="0B60A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2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A712A"/>
    <w:multiLevelType w:val="hybridMultilevel"/>
    <w:tmpl w:val="D364571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8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9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28"/>
  </w:num>
  <w:num w:numId="10">
    <w:abstractNumId w:val="4"/>
  </w:num>
  <w:num w:numId="11">
    <w:abstractNumId w:val="26"/>
  </w:num>
  <w:num w:numId="12">
    <w:abstractNumId w:val="14"/>
  </w:num>
  <w:num w:numId="13">
    <w:abstractNumId w:val="6"/>
  </w:num>
  <w:num w:numId="14">
    <w:abstractNumId w:val="18"/>
  </w:num>
  <w:num w:numId="15">
    <w:abstractNumId w:val="23"/>
  </w:num>
  <w:num w:numId="16">
    <w:abstractNumId w:val="21"/>
  </w:num>
  <w:num w:numId="17">
    <w:abstractNumId w:val="22"/>
  </w:num>
  <w:num w:numId="18">
    <w:abstractNumId w:val="29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24"/>
  </w:num>
  <w:num w:numId="25">
    <w:abstractNumId w:val="11"/>
  </w:num>
  <w:num w:numId="26">
    <w:abstractNumId w:val="12"/>
  </w:num>
  <w:num w:numId="27">
    <w:abstractNumId w:val="0"/>
  </w:num>
  <w:num w:numId="28">
    <w:abstractNumId w:val="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1002B"/>
    <w:rsid w:val="00014FFE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4751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17CC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A3B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0D3A"/>
    <w:rsid w:val="006024E7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17A46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697E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BCF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0D5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87775"/>
    <w:rsid w:val="00C90BBC"/>
    <w:rsid w:val="00C94628"/>
    <w:rsid w:val="00C95C49"/>
    <w:rsid w:val="00C96705"/>
    <w:rsid w:val="00C9704C"/>
    <w:rsid w:val="00C97EA7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178D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8CF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66B084-1D9A-434C-8A2B-81FC3392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6178D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paragraph" w:styleId="BalloonText">
    <w:name w:val="Balloon Text"/>
    <w:basedOn w:val="Normal"/>
    <w:link w:val="BalloonTextChar"/>
    <w:rsid w:val="00736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9</cp:revision>
  <cp:lastPrinted>2009-09-24T23:59:00Z</cp:lastPrinted>
  <dcterms:created xsi:type="dcterms:W3CDTF">2010-01-27T16:41:00Z</dcterms:created>
  <dcterms:modified xsi:type="dcterms:W3CDTF">2016-06-18T17:49:00Z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