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7532" w14:textId="7A445FEA" w:rsidR="2562B21E" w:rsidRDefault="00CC718E" w:rsidP="00F37B2D">
      <w:pPr>
        <w:spacing w:line="480" w:lineRule="auto"/>
        <w:jc w:val="center"/>
        <w:rPr>
          <w:rFonts w:ascii="Calibri" w:eastAsia="Calibri" w:hAnsi="Calibri" w:cs="Calibri"/>
          <w:sz w:val="144"/>
          <w:szCs w:val="144"/>
        </w:rPr>
      </w:pPr>
      <w:r w:rsidRPr="00CC718E">
        <w:rPr>
          <w:rFonts w:ascii="Calibri" w:eastAsia="Calibri" w:hAnsi="Calibri" w:cs="Calibri"/>
          <w:sz w:val="144"/>
          <w:szCs w:val="144"/>
        </w:rPr>
        <w:t>Tennant</w:t>
      </w:r>
    </w:p>
    <w:p w14:paraId="2C207DF5" w14:textId="6AF4D16A" w:rsidR="00CC718E" w:rsidRDefault="3AFBC84D" w:rsidP="3AFBC84D">
      <w:pPr>
        <w:spacing w:line="480" w:lineRule="auto"/>
        <w:jc w:val="center"/>
        <w:rPr>
          <w:rFonts w:ascii="Calibri" w:eastAsia="Calibri" w:hAnsi="Calibri" w:cs="Calibri"/>
          <w:sz w:val="36"/>
          <w:szCs w:val="36"/>
        </w:rPr>
      </w:pPr>
      <w:r w:rsidRPr="3AFBC84D">
        <w:rPr>
          <w:rFonts w:ascii="Calibri" w:eastAsia="Calibri" w:hAnsi="Calibri" w:cs="Calibri"/>
          <w:sz w:val="36"/>
          <w:szCs w:val="36"/>
        </w:rPr>
        <w:t>Equity Research Report</w:t>
      </w:r>
    </w:p>
    <w:p w14:paraId="2FDCB386" w14:textId="443F63D5" w:rsidR="00CC718E" w:rsidRPr="00CC718E" w:rsidRDefault="00CC718E" w:rsidP="2BE8D42D">
      <w:pPr>
        <w:spacing w:line="480" w:lineRule="auto"/>
        <w:jc w:val="center"/>
        <w:rPr>
          <w:rFonts w:ascii="Calibri" w:eastAsia="Calibri" w:hAnsi="Calibri" w:cs="Calibri"/>
          <w:sz w:val="36"/>
          <w:szCs w:val="36"/>
        </w:rPr>
      </w:pPr>
      <w:r w:rsidRPr="2BE8D42D">
        <w:rPr>
          <w:rFonts w:ascii="Calibri" w:eastAsia="Calibri" w:hAnsi="Calibri" w:cs="Calibri"/>
          <w:sz w:val="36"/>
          <w:szCs w:val="36"/>
        </w:rPr>
        <w:t xml:space="preserve">By: Aaron Foster, Noah Wilcox, Austin </w:t>
      </w:r>
      <w:proofErr w:type="spellStart"/>
      <w:r w:rsidR="009453F9" w:rsidRPr="2BE8D42D">
        <w:rPr>
          <w:rFonts w:ascii="Calibri" w:eastAsia="Calibri" w:hAnsi="Calibri" w:cs="Calibri"/>
          <w:sz w:val="36"/>
          <w:szCs w:val="36"/>
        </w:rPr>
        <w:t>Kotlowski</w:t>
      </w:r>
      <w:proofErr w:type="spellEnd"/>
      <w:r w:rsidRPr="2BE8D42D">
        <w:rPr>
          <w:rFonts w:ascii="Calibri" w:eastAsia="Calibri" w:hAnsi="Calibri" w:cs="Calibri"/>
          <w:sz w:val="36"/>
          <w:szCs w:val="36"/>
        </w:rPr>
        <w:t>, Nathan Wick, Marshal Wil</w:t>
      </w:r>
      <w:r w:rsidR="4DA86476" w:rsidRPr="2BE8D42D">
        <w:rPr>
          <w:rFonts w:ascii="Calibri" w:eastAsia="Calibri" w:hAnsi="Calibri" w:cs="Calibri"/>
          <w:sz w:val="36"/>
          <w:szCs w:val="36"/>
        </w:rPr>
        <w:t>l</w:t>
      </w:r>
    </w:p>
    <w:p w14:paraId="47E2F169" w14:textId="02FDC462" w:rsidR="00CC718E" w:rsidRDefault="00CC718E" w:rsidP="00F37B2D">
      <w:pPr>
        <w:spacing w:line="480" w:lineRule="auto"/>
        <w:jc w:val="center"/>
        <w:rPr>
          <w:rFonts w:ascii="Calibri" w:eastAsia="Calibri" w:hAnsi="Calibri" w:cs="Calibri"/>
        </w:rPr>
      </w:pPr>
      <w:r>
        <w:rPr>
          <w:noProof/>
        </w:rPr>
        <w:drawing>
          <wp:anchor distT="0" distB="0" distL="114300" distR="114300" simplePos="0" relativeHeight="251658240" behindDoc="0" locked="0" layoutInCell="1" allowOverlap="1" wp14:anchorId="643531E8" wp14:editId="3C4C3D05">
            <wp:simplePos x="0" y="0"/>
            <wp:positionH relativeFrom="margin">
              <wp:align>center</wp:align>
            </wp:positionH>
            <wp:positionV relativeFrom="paragraph">
              <wp:posOffset>375920</wp:posOffset>
            </wp:positionV>
            <wp:extent cx="3684905" cy="3345180"/>
            <wp:effectExtent l="0" t="0" r="0" b="7620"/>
            <wp:wrapThrough wrapText="bothSides">
              <wp:wrapPolygon edited="0">
                <wp:start x="0" y="0"/>
                <wp:lineTo x="0" y="21526"/>
                <wp:lineTo x="21440" y="21526"/>
                <wp:lineTo x="21440" y="0"/>
                <wp:lineTo x="0" y="0"/>
              </wp:wrapPolygon>
            </wp:wrapThrough>
            <wp:docPr id="985709509" name="Picture 25135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50970"/>
                    <pic:cNvPicPr/>
                  </pic:nvPicPr>
                  <pic:blipFill>
                    <a:blip r:embed="rId5">
                      <a:extLst>
                        <a:ext uri="{28A0092B-C50C-407E-A947-70E740481C1C}">
                          <a14:useLocalDpi xmlns:a14="http://schemas.microsoft.com/office/drawing/2010/main" val="0"/>
                        </a:ext>
                      </a:extLst>
                    </a:blip>
                    <a:stretch>
                      <a:fillRect/>
                    </a:stretch>
                  </pic:blipFill>
                  <pic:spPr>
                    <a:xfrm>
                      <a:off x="0" y="0"/>
                      <a:ext cx="3684905" cy="3345180"/>
                    </a:xfrm>
                    <a:prstGeom prst="rect">
                      <a:avLst/>
                    </a:prstGeom>
                  </pic:spPr>
                </pic:pic>
              </a:graphicData>
            </a:graphic>
            <wp14:sizeRelH relativeFrom="margin">
              <wp14:pctWidth>0</wp14:pctWidth>
            </wp14:sizeRelH>
            <wp14:sizeRelV relativeFrom="margin">
              <wp14:pctHeight>0</wp14:pctHeight>
            </wp14:sizeRelV>
          </wp:anchor>
        </w:drawing>
      </w:r>
    </w:p>
    <w:p w14:paraId="7D817E38" w14:textId="1721B3DC" w:rsidR="00CC718E" w:rsidRDefault="00CC718E" w:rsidP="00F37B2D">
      <w:pPr>
        <w:spacing w:line="480" w:lineRule="auto"/>
        <w:jc w:val="center"/>
        <w:rPr>
          <w:rFonts w:ascii="Calibri" w:eastAsia="Calibri" w:hAnsi="Calibri" w:cs="Calibri"/>
        </w:rPr>
      </w:pPr>
    </w:p>
    <w:p w14:paraId="42467314" w14:textId="23B98B94" w:rsidR="00CC718E" w:rsidRDefault="00CC718E" w:rsidP="00F37B2D">
      <w:pPr>
        <w:spacing w:line="480" w:lineRule="auto"/>
        <w:jc w:val="center"/>
        <w:rPr>
          <w:rFonts w:ascii="Calibri" w:eastAsia="Calibri" w:hAnsi="Calibri" w:cs="Calibri"/>
        </w:rPr>
      </w:pPr>
    </w:p>
    <w:p w14:paraId="202C60EB" w14:textId="618EDB08" w:rsidR="00CC718E" w:rsidRDefault="00CC718E" w:rsidP="00F37B2D">
      <w:pPr>
        <w:spacing w:line="480" w:lineRule="auto"/>
        <w:jc w:val="center"/>
        <w:rPr>
          <w:rFonts w:ascii="Calibri" w:eastAsia="Calibri" w:hAnsi="Calibri" w:cs="Calibri"/>
        </w:rPr>
      </w:pPr>
    </w:p>
    <w:p w14:paraId="40759C92" w14:textId="7B045EA2" w:rsidR="00CC718E" w:rsidRDefault="00CC718E" w:rsidP="00F37B2D">
      <w:pPr>
        <w:spacing w:line="480" w:lineRule="auto"/>
        <w:jc w:val="center"/>
        <w:rPr>
          <w:rFonts w:ascii="Calibri" w:eastAsia="Calibri" w:hAnsi="Calibri" w:cs="Calibri"/>
        </w:rPr>
      </w:pPr>
    </w:p>
    <w:p w14:paraId="71AF65A2" w14:textId="70DAF08F" w:rsidR="00CC718E" w:rsidRDefault="00CC718E" w:rsidP="00F37B2D">
      <w:pPr>
        <w:spacing w:line="480" w:lineRule="auto"/>
        <w:jc w:val="center"/>
        <w:rPr>
          <w:rFonts w:ascii="Calibri" w:eastAsia="Calibri" w:hAnsi="Calibri" w:cs="Calibri"/>
        </w:rPr>
      </w:pPr>
    </w:p>
    <w:p w14:paraId="1A4B8FC5" w14:textId="5FD728BE" w:rsidR="00CC718E" w:rsidRDefault="00CC718E" w:rsidP="00F37B2D">
      <w:pPr>
        <w:spacing w:line="480" w:lineRule="auto"/>
        <w:jc w:val="center"/>
        <w:rPr>
          <w:rFonts w:ascii="Calibri" w:eastAsia="Calibri" w:hAnsi="Calibri" w:cs="Calibri"/>
        </w:rPr>
      </w:pPr>
    </w:p>
    <w:p w14:paraId="034F8D3D" w14:textId="3B11BE16" w:rsidR="00CC718E" w:rsidRPr="00CC718E" w:rsidRDefault="00CC718E" w:rsidP="00700724">
      <w:pPr>
        <w:spacing w:after="0" w:line="276" w:lineRule="auto"/>
        <w:rPr>
          <w:rFonts w:ascii="Calibri" w:eastAsia="Calibri" w:hAnsi="Calibri" w:cs="Calibri"/>
          <w:b/>
          <w:sz w:val="32"/>
          <w:szCs w:val="32"/>
          <w:u w:val="single"/>
        </w:rPr>
      </w:pPr>
      <w:r>
        <w:rPr>
          <w:rFonts w:ascii="Calibri" w:eastAsia="Calibri" w:hAnsi="Calibri" w:cs="Calibri"/>
          <w:b/>
          <w:sz w:val="32"/>
          <w:szCs w:val="32"/>
          <w:u w:val="single"/>
        </w:rPr>
        <w:lastRenderedPageBreak/>
        <w:t>Business Descriptions</w:t>
      </w:r>
    </w:p>
    <w:p w14:paraId="2C9D205F" w14:textId="1107FEC8" w:rsidR="2562B21E" w:rsidRPr="00CC718E" w:rsidRDefault="3AFBC84D" w:rsidP="3AFBC84D">
      <w:pPr>
        <w:spacing w:after="0" w:line="276" w:lineRule="auto"/>
        <w:rPr>
          <w:rFonts w:ascii="Calibri" w:eastAsia="Calibri" w:hAnsi="Calibri" w:cs="Calibri"/>
          <w:sz w:val="24"/>
          <w:szCs w:val="24"/>
        </w:rPr>
      </w:pPr>
      <w:r w:rsidRPr="3AFBC84D">
        <w:rPr>
          <w:rFonts w:ascii="Calibri" w:eastAsia="Calibri" w:hAnsi="Calibri" w:cs="Calibri"/>
          <w:sz w:val="24"/>
          <w:szCs w:val="24"/>
        </w:rPr>
        <w:t xml:space="preserve">Tennant is a global Industrial floor scrubber company that was established in Minnesota in 1870. Tennant’s current vision is to be the leader in technology and innovation in the industrial floor scrubber market. Tennant’s future vision is to be a key leader in reducing environmental harm by creating eco-friendly products and technologies. Tennant is traded on the Russel 2000 and as of 12/11 a stock price of $79 under the ticker symbol TNC. Tennant has a market cap of $1.4 Billion. Over the past 5 years, Tennant has had organic growth of 4.5% but in 2017 they acquired 2 companies IPC and </w:t>
      </w:r>
      <w:proofErr w:type="spellStart"/>
      <w:r w:rsidRPr="3AFBC84D">
        <w:rPr>
          <w:rFonts w:ascii="Calibri" w:eastAsia="Calibri" w:hAnsi="Calibri" w:cs="Calibri"/>
          <w:sz w:val="24"/>
          <w:szCs w:val="24"/>
        </w:rPr>
        <w:t>Gaomei</w:t>
      </w:r>
      <w:proofErr w:type="spellEnd"/>
      <w:r w:rsidRPr="3AFBC84D">
        <w:rPr>
          <w:rFonts w:ascii="Calibri" w:eastAsia="Calibri" w:hAnsi="Calibri" w:cs="Calibri"/>
          <w:sz w:val="24"/>
          <w:szCs w:val="24"/>
        </w:rPr>
        <w:t xml:space="preserve"> for $300 million. Tennant has and EBIDTA of $120 million.</w:t>
      </w:r>
    </w:p>
    <w:p w14:paraId="75877CAB" w14:textId="2BB0C29E" w:rsidR="00CC718E" w:rsidRDefault="00CC718E" w:rsidP="00C54052">
      <w:pPr>
        <w:spacing w:after="0" w:line="276" w:lineRule="auto"/>
        <w:rPr>
          <w:rFonts w:ascii="Calibri" w:eastAsia="Calibri" w:hAnsi="Calibri" w:cs="Calibri"/>
          <w:sz w:val="32"/>
          <w:szCs w:val="32"/>
        </w:rPr>
      </w:pPr>
    </w:p>
    <w:p w14:paraId="2B37095A" w14:textId="4BA04618" w:rsidR="00C54052" w:rsidRPr="00C54052" w:rsidRDefault="00C54052" w:rsidP="00700724">
      <w:pPr>
        <w:spacing w:after="0" w:line="276" w:lineRule="auto"/>
        <w:rPr>
          <w:rFonts w:ascii="Calibri" w:eastAsia="Calibri" w:hAnsi="Calibri" w:cs="Calibri"/>
          <w:b/>
          <w:sz w:val="32"/>
          <w:szCs w:val="32"/>
          <w:u w:val="single"/>
        </w:rPr>
      </w:pPr>
      <w:r w:rsidRPr="00C54052">
        <w:rPr>
          <w:rFonts w:ascii="Calibri" w:eastAsia="Calibri" w:hAnsi="Calibri" w:cs="Calibri"/>
          <w:b/>
          <w:sz w:val="32"/>
          <w:szCs w:val="32"/>
          <w:u w:val="single"/>
        </w:rPr>
        <w:t>Products</w:t>
      </w:r>
      <w:bookmarkStart w:id="0" w:name="_GoBack"/>
      <w:bookmarkEnd w:id="0"/>
    </w:p>
    <w:p w14:paraId="00736AB3" w14:textId="59F9627B" w:rsidR="2562B21E" w:rsidRPr="00C54052" w:rsidRDefault="3AFBC84D" w:rsidP="3AFBC84D">
      <w:pPr>
        <w:spacing w:line="276" w:lineRule="auto"/>
        <w:rPr>
          <w:rFonts w:ascii="Calibri" w:eastAsia="Calibri" w:hAnsi="Calibri" w:cs="Calibri"/>
          <w:sz w:val="24"/>
          <w:szCs w:val="24"/>
        </w:rPr>
      </w:pPr>
      <w:r w:rsidRPr="3AFBC84D">
        <w:rPr>
          <w:rFonts w:ascii="Calibri" w:eastAsia="Calibri" w:hAnsi="Calibri" w:cs="Calibri"/>
          <w:sz w:val="24"/>
          <w:szCs w:val="24"/>
        </w:rPr>
        <w:t xml:space="preserve">Tennant has a variety of products such as floor scrubbers, sweepers, sweeper scrubbers, carpet extractors, burnish and floor machines, and vacuums. </w:t>
      </w:r>
      <w:r w:rsidR="00BB0A00">
        <w:rPr>
          <w:rFonts w:ascii="Calibri" w:eastAsia="Calibri" w:hAnsi="Calibri" w:cs="Calibri"/>
          <w:sz w:val="24"/>
          <w:szCs w:val="24"/>
        </w:rPr>
        <w:t>T</w:t>
      </w:r>
      <w:r w:rsidRPr="3AFBC84D">
        <w:rPr>
          <w:rFonts w:ascii="Calibri" w:eastAsia="Calibri" w:hAnsi="Calibri" w:cs="Calibri"/>
          <w:sz w:val="24"/>
          <w:szCs w:val="24"/>
        </w:rPr>
        <w:t xml:space="preserve">heir main bread and butter </w:t>
      </w:r>
      <w:proofErr w:type="gramStart"/>
      <w:r w:rsidRPr="3AFBC84D">
        <w:rPr>
          <w:rFonts w:ascii="Calibri" w:eastAsia="Calibri" w:hAnsi="Calibri" w:cs="Calibri"/>
          <w:sz w:val="24"/>
          <w:szCs w:val="24"/>
        </w:rPr>
        <w:t>is</w:t>
      </w:r>
      <w:proofErr w:type="gramEnd"/>
      <w:r w:rsidRPr="3AFBC84D">
        <w:rPr>
          <w:rFonts w:ascii="Calibri" w:eastAsia="Calibri" w:hAnsi="Calibri" w:cs="Calibri"/>
          <w:sz w:val="24"/>
          <w:szCs w:val="24"/>
        </w:rPr>
        <w:t xml:space="preserve"> floor scrubbers. Tennant’s latest floor scrubber is the T7-AMR Micro Floor Scrubber. What makes this floor scrubber unique is that it is the first and only floor scrubber in the market to have self-driving robotics. How this works is that it allows the user to program routes into the floor scrubber and when instructed the scrubber will do those routes. The scrubber also has sensors all around it to detect foreign objects and will go around those objects if needed. The scrubber also has ec-H2O which is a technology that Tennant developed to reduces the use of chemicals. How ec-H2O works is that it electrifies the water creating acidity in the water allowing the water to break down dirt particles. These technologies in the floor scrubber allow the company to use their employees more effectively by focusing on profit-generating tasks instead of cleaning floors, overall reducing labor inefficiencies. Just recently Walmart has invested in over 5,000 units of this floor scrubber showing that big companies believe in this technology.      </w:t>
      </w:r>
    </w:p>
    <w:p w14:paraId="0C8450A6" w14:textId="2A8D071A" w:rsidR="07BB2435" w:rsidRDefault="07BB2435" w:rsidP="00C54052">
      <w:pPr>
        <w:spacing w:line="276" w:lineRule="auto"/>
        <w:rPr>
          <w:rFonts w:ascii="Times New Roman" w:eastAsia="Times New Roman" w:hAnsi="Times New Roman" w:cs="Times New Roman"/>
        </w:rPr>
      </w:pPr>
    </w:p>
    <w:p w14:paraId="7F562857" w14:textId="2B6D473A" w:rsidR="00E03D44" w:rsidRPr="00E03D44" w:rsidRDefault="00E03D44" w:rsidP="00700724">
      <w:pPr>
        <w:spacing w:line="276" w:lineRule="auto"/>
        <w:rPr>
          <w:rFonts w:eastAsia="Times New Roman" w:cstheme="minorHAnsi"/>
          <w:b/>
          <w:sz w:val="32"/>
          <w:szCs w:val="32"/>
          <w:u w:val="single"/>
        </w:rPr>
      </w:pPr>
      <w:r>
        <w:rPr>
          <w:rFonts w:eastAsia="Times New Roman" w:cstheme="minorHAnsi"/>
          <w:b/>
          <w:sz w:val="32"/>
          <w:szCs w:val="32"/>
          <w:u w:val="single"/>
        </w:rPr>
        <w:t>Competition</w:t>
      </w:r>
    </w:p>
    <w:p w14:paraId="1B2DE495" w14:textId="2B1446A9" w:rsidR="00B30E84" w:rsidRDefault="3AFBC84D" w:rsidP="00BB0A00">
      <w:pPr>
        <w:spacing w:line="276" w:lineRule="auto"/>
        <w:rPr>
          <w:rFonts w:ascii="Calibri" w:eastAsia="Calibri" w:hAnsi="Calibri" w:cs="Calibri"/>
          <w:sz w:val="24"/>
          <w:szCs w:val="24"/>
        </w:rPr>
      </w:pPr>
      <w:r w:rsidRPr="3AFBC84D">
        <w:rPr>
          <w:rFonts w:ascii="Calibri" w:eastAsia="Calibri" w:hAnsi="Calibri" w:cs="Calibri"/>
          <w:sz w:val="24"/>
          <w:szCs w:val="24"/>
        </w:rPr>
        <w:t xml:space="preserve">In the floor scrubber industry, Tennant has the largest market share of its competitors at 20%. The other major competitors in the industrial floor scrubber industry are </w:t>
      </w:r>
      <w:proofErr w:type="spellStart"/>
      <w:r w:rsidRPr="3AFBC84D">
        <w:rPr>
          <w:rFonts w:ascii="Calibri" w:eastAsia="Calibri" w:hAnsi="Calibri" w:cs="Calibri"/>
          <w:sz w:val="24"/>
          <w:szCs w:val="24"/>
        </w:rPr>
        <w:t>Nilfisk</w:t>
      </w:r>
      <w:proofErr w:type="spellEnd"/>
      <w:r w:rsidRPr="3AFBC84D">
        <w:rPr>
          <w:rFonts w:ascii="Calibri" w:eastAsia="Calibri" w:hAnsi="Calibri" w:cs="Calibri"/>
          <w:sz w:val="24"/>
          <w:szCs w:val="24"/>
        </w:rPr>
        <w:t xml:space="preserve">, </w:t>
      </w:r>
      <w:proofErr w:type="spellStart"/>
      <w:r w:rsidRPr="3AFBC84D">
        <w:rPr>
          <w:rFonts w:ascii="Calibri" w:eastAsia="Calibri" w:hAnsi="Calibri" w:cs="Calibri"/>
          <w:sz w:val="24"/>
          <w:szCs w:val="24"/>
        </w:rPr>
        <w:t>Karcher</w:t>
      </w:r>
      <w:proofErr w:type="spellEnd"/>
      <w:r w:rsidRPr="3AFBC84D">
        <w:rPr>
          <w:rFonts w:ascii="Calibri" w:eastAsia="Calibri" w:hAnsi="Calibri" w:cs="Calibri"/>
          <w:sz w:val="24"/>
          <w:szCs w:val="24"/>
        </w:rPr>
        <w:t xml:space="preserve">, and Hako.  </w:t>
      </w:r>
      <w:proofErr w:type="spellStart"/>
      <w:r w:rsidRPr="3AFBC84D">
        <w:rPr>
          <w:rFonts w:ascii="Calibri" w:eastAsia="Calibri" w:hAnsi="Calibri" w:cs="Calibri"/>
          <w:sz w:val="24"/>
          <w:szCs w:val="24"/>
        </w:rPr>
        <w:t>Nilfisk</w:t>
      </w:r>
      <w:proofErr w:type="spellEnd"/>
      <w:r w:rsidRPr="3AFBC84D">
        <w:rPr>
          <w:rFonts w:ascii="Calibri" w:eastAsia="Calibri" w:hAnsi="Calibri" w:cs="Calibri"/>
          <w:sz w:val="24"/>
          <w:szCs w:val="24"/>
        </w:rPr>
        <w:t xml:space="preserve"> is a larger company than Tennant but its primary focus is in vacuums. They hold 18% of the industry. </w:t>
      </w:r>
      <w:proofErr w:type="spellStart"/>
      <w:r w:rsidRPr="3AFBC84D">
        <w:rPr>
          <w:rFonts w:ascii="Calibri" w:eastAsia="Calibri" w:hAnsi="Calibri" w:cs="Calibri"/>
          <w:sz w:val="24"/>
          <w:szCs w:val="24"/>
        </w:rPr>
        <w:t>Karcher</w:t>
      </w:r>
      <w:proofErr w:type="spellEnd"/>
      <w:r w:rsidR="00BB0A00">
        <w:rPr>
          <w:rFonts w:ascii="Calibri" w:eastAsia="Calibri" w:hAnsi="Calibri" w:cs="Calibri"/>
          <w:sz w:val="24"/>
          <w:szCs w:val="24"/>
        </w:rPr>
        <w:t xml:space="preserve"> is</w:t>
      </w:r>
      <w:r w:rsidRPr="3AFBC84D">
        <w:rPr>
          <w:rFonts w:ascii="Calibri" w:eastAsia="Calibri" w:hAnsi="Calibri" w:cs="Calibri"/>
          <w:sz w:val="24"/>
          <w:szCs w:val="24"/>
        </w:rPr>
        <w:t xml:space="preserve"> the next largest market share </w:t>
      </w:r>
      <w:proofErr w:type="gramStart"/>
      <w:r w:rsidR="00BB0A00">
        <w:rPr>
          <w:rFonts w:ascii="Calibri" w:eastAsia="Calibri" w:hAnsi="Calibri" w:cs="Calibri"/>
          <w:sz w:val="24"/>
          <w:szCs w:val="24"/>
        </w:rPr>
        <w:t xml:space="preserve">and </w:t>
      </w:r>
      <w:r w:rsidRPr="3AFBC84D">
        <w:rPr>
          <w:rFonts w:ascii="Calibri" w:eastAsia="Calibri" w:hAnsi="Calibri" w:cs="Calibri"/>
          <w:sz w:val="24"/>
          <w:szCs w:val="24"/>
        </w:rPr>
        <w:t>also</w:t>
      </w:r>
      <w:proofErr w:type="gramEnd"/>
      <w:r w:rsidRPr="3AFBC84D">
        <w:rPr>
          <w:rFonts w:ascii="Calibri" w:eastAsia="Calibri" w:hAnsi="Calibri" w:cs="Calibri"/>
          <w:sz w:val="24"/>
          <w:szCs w:val="24"/>
        </w:rPr>
        <w:t xml:space="preserve"> focuses mainly on vacuums</w:t>
      </w:r>
      <w:r w:rsidR="00BB0A00">
        <w:rPr>
          <w:rFonts w:ascii="Calibri" w:eastAsia="Calibri" w:hAnsi="Calibri" w:cs="Calibri"/>
          <w:sz w:val="24"/>
          <w:szCs w:val="24"/>
        </w:rPr>
        <w:t>. They have</w:t>
      </w:r>
      <w:r w:rsidRPr="3AFBC84D">
        <w:rPr>
          <w:rFonts w:ascii="Calibri" w:eastAsia="Calibri" w:hAnsi="Calibri" w:cs="Calibri"/>
          <w:sz w:val="24"/>
          <w:szCs w:val="24"/>
        </w:rPr>
        <w:t xml:space="preserve"> 12% of the market share. The last major firm </w:t>
      </w:r>
      <w:r w:rsidR="00BB0A00">
        <w:rPr>
          <w:rFonts w:ascii="Calibri" w:eastAsia="Calibri" w:hAnsi="Calibri" w:cs="Calibri"/>
          <w:sz w:val="24"/>
          <w:szCs w:val="24"/>
        </w:rPr>
        <w:t xml:space="preserve">is </w:t>
      </w:r>
      <w:r w:rsidRPr="3AFBC84D">
        <w:rPr>
          <w:rFonts w:ascii="Calibri" w:eastAsia="Calibri" w:hAnsi="Calibri" w:cs="Calibri"/>
          <w:sz w:val="24"/>
          <w:szCs w:val="24"/>
        </w:rPr>
        <w:t>Hako</w:t>
      </w:r>
      <w:r w:rsidR="00BB0A00">
        <w:rPr>
          <w:rFonts w:ascii="Calibri" w:eastAsia="Calibri" w:hAnsi="Calibri" w:cs="Calibri"/>
          <w:sz w:val="24"/>
          <w:szCs w:val="24"/>
        </w:rPr>
        <w:t xml:space="preserve"> with</w:t>
      </w:r>
      <w:r w:rsidRPr="3AFBC84D">
        <w:rPr>
          <w:rFonts w:ascii="Calibri" w:eastAsia="Calibri" w:hAnsi="Calibri" w:cs="Calibri"/>
          <w:sz w:val="24"/>
          <w:szCs w:val="24"/>
        </w:rPr>
        <w:t xml:space="preserve"> 9% of the market share and primarily focuses on power washers.  The other 38% of the market is held by other firms that hold 3% of the market or less. Overall, it’s hard to gauge the industrial floor scrubber market because most of Tennant’s competitors don’t focus on floor scrubbers and are privately held companies, making it hard to compare their financial information.</w:t>
      </w:r>
    </w:p>
    <w:p w14:paraId="0311E3A2" w14:textId="51606DD3" w:rsidR="00B30E84" w:rsidRPr="00B30E84" w:rsidRDefault="00B30E84" w:rsidP="00700724">
      <w:pPr>
        <w:spacing w:line="276" w:lineRule="auto"/>
        <w:rPr>
          <w:rFonts w:ascii="Calibri" w:eastAsia="Calibri" w:hAnsi="Calibri" w:cs="Calibri"/>
          <w:b/>
          <w:sz w:val="32"/>
          <w:szCs w:val="32"/>
          <w:u w:val="single"/>
        </w:rPr>
      </w:pPr>
      <w:r w:rsidRPr="00B30E84">
        <w:rPr>
          <w:rFonts w:ascii="Calibri" w:eastAsia="Calibri" w:hAnsi="Calibri" w:cs="Calibri"/>
          <w:b/>
          <w:sz w:val="32"/>
          <w:szCs w:val="32"/>
          <w:u w:val="single"/>
        </w:rPr>
        <w:lastRenderedPageBreak/>
        <w:t>Acquisitions</w:t>
      </w:r>
    </w:p>
    <w:p w14:paraId="720583ED" w14:textId="1BADB667" w:rsidR="07BB2435" w:rsidRDefault="3AFBC84D" w:rsidP="3AFBC84D">
      <w:pPr>
        <w:spacing w:line="276" w:lineRule="auto"/>
        <w:rPr>
          <w:rFonts w:ascii="Calibri" w:eastAsia="Calibri" w:hAnsi="Calibri" w:cs="Calibri"/>
          <w:sz w:val="24"/>
          <w:szCs w:val="24"/>
        </w:rPr>
      </w:pPr>
      <w:r w:rsidRPr="3AFBC84D">
        <w:rPr>
          <w:rFonts w:ascii="Calibri" w:eastAsia="Calibri" w:hAnsi="Calibri" w:cs="Calibri"/>
          <w:sz w:val="24"/>
          <w:szCs w:val="24"/>
        </w:rPr>
        <w:t xml:space="preserve">With the Tennant’s acquisitions of IPC and </w:t>
      </w:r>
      <w:proofErr w:type="spellStart"/>
      <w:r w:rsidRPr="3AFBC84D">
        <w:rPr>
          <w:rFonts w:ascii="Calibri" w:eastAsia="Calibri" w:hAnsi="Calibri" w:cs="Calibri"/>
          <w:sz w:val="24"/>
          <w:szCs w:val="24"/>
        </w:rPr>
        <w:t>Gaomei</w:t>
      </w:r>
      <w:proofErr w:type="spellEnd"/>
      <w:r w:rsidRPr="3AFBC84D">
        <w:rPr>
          <w:rFonts w:ascii="Calibri" w:eastAsia="Calibri" w:hAnsi="Calibri" w:cs="Calibri"/>
          <w:sz w:val="24"/>
          <w:szCs w:val="24"/>
        </w:rPr>
        <w:t xml:space="preserve">, they see tremendous growth opportunities in the future of the company and gain in the market share. IPC is based in Europe and is a mid-tier machine that offers the reliability and service of Tennant. The other acquisition </w:t>
      </w:r>
      <w:proofErr w:type="spellStart"/>
      <w:r w:rsidRPr="3AFBC84D">
        <w:rPr>
          <w:rFonts w:ascii="Calibri" w:eastAsia="Calibri" w:hAnsi="Calibri" w:cs="Calibri"/>
          <w:sz w:val="24"/>
          <w:szCs w:val="24"/>
        </w:rPr>
        <w:t>Gaomei</w:t>
      </w:r>
      <w:proofErr w:type="spellEnd"/>
      <w:r w:rsidRPr="3AFBC84D">
        <w:rPr>
          <w:rFonts w:ascii="Calibri" w:eastAsia="Calibri" w:hAnsi="Calibri" w:cs="Calibri"/>
          <w:sz w:val="24"/>
          <w:szCs w:val="24"/>
        </w:rPr>
        <w:t xml:space="preserve"> is an organic, Chinese-based company that is a low to mid-tier machine.  </w:t>
      </w:r>
      <w:r w:rsidR="00BB0A00">
        <w:rPr>
          <w:rFonts w:ascii="Calibri" w:eastAsia="Calibri" w:hAnsi="Calibri" w:cs="Calibri"/>
          <w:sz w:val="24"/>
          <w:szCs w:val="24"/>
        </w:rPr>
        <w:t xml:space="preserve">Tennant sees the developing Chinese market as the largest opportunity </w:t>
      </w:r>
      <w:r w:rsidRPr="3AFBC84D">
        <w:rPr>
          <w:rFonts w:ascii="Calibri" w:eastAsia="Calibri" w:hAnsi="Calibri" w:cs="Calibri"/>
          <w:sz w:val="24"/>
          <w:szCs w:val="24"/>
        </w:rPr>
        <w:t xml:space="preserve">for growth </w:t>
      </w:r>
      <w:r w:rsidR="00BB0A00">
        <w:rPr>
          <w:rFonts w:ascii="Calibri" w:eastAsia="Calibri" w:hAnsi="Calibri" w:cs="Calibri"/>
          <w:sz w:val="24"/>
          <w:szCs w:val="24"/>
        </w:rPr>
        <w:t>and</w:t>
      </w:r>
      <w:r w:rsidRPr="3AFBC84D">
        <w:rPr>
          <w:rFonts w:ascii="Calibri" w:eastAsia="Calibri" w:hAnsi="Calibri" w:cs="Calibri"/>
          <w:sz w:val="24"/>
          <w:szCs w:val="24"/>
        </w:rPr>
        <w:t xml:space="preserve"> is estimated to be worth around $300 million. In China, they primarily use mop and bucket. If </w:t>
      </w:r>
      <w:r w:rsidR="00BB0A00">
        <w:rPr>
          <w:rFonts w:ascii="Calibri" w:eastAsia="Calibri" w:hAnsi="Calibri" w:cs="Calibri"/>
          <w:sz w:val="24"/>
          <w:szCs w:val="24"/>
        </w:rPr>
        <w:t>Tennant</w:t>
      </w:r>
      <w:r w:rsidRPr="3AFBC84D">
        <w:rPr>
          <w:rFonts w:ascii="Calibri" w:eastAsia="Calibri" w:hAnsi="Calibri" w:cs="Calibri"/>
          <w:sz w:val="24"/>
          <w:szCs w:val="24"/>
        </w:rPr>
        <w:t xml:space="preserve"> can become a dominant force in this market, they will see a huge boost in sales from </w:t>
      </w:r>
      <w:proofErr w:type="spellStart"/>
      <w:r w:rsidRPr="3AFBC84D">
        <w:rPr>
          <w:rFonts w:ascii="Calibri" w:eastAsia="Calibri" w:hAnsi="Calibri" w:cs="Calibri"/>
          <w:sz w:val="24"/>
          <w:szCs w:val="24"/>
        </w:rPr>
        <w:t>Gaomei</w:t>
      </w:r>
      <w:proofErr w:type="spellEnd"/>
      <w:r w:rsidRPr="3AFBC84D">
        <w:rPr>
          <w:rFonts w:ascii="Calibri" w:eastAsia="Calibri" w:hAnsi="Calibri" w:cs="Calibri"/>
          <w:sz w:val="24"/>
          <w:szCs w:val="24"/>
        </w:rPr>
        <w:t>. With</w:t>
      </w:r>
      <w:r w:rsidR="00BB0A00">
        <w:rPr>
          <w:rFonts w:ascii="Calibri" w:eastAsia="Calibri" w:hAnsi="Calibri" w:cs="Calibri"/>
          <w:sz w:val="24"/>
          <w:szCs w:val="24"/>
        </w:rPr>
        <w:t xml:space="preserve"> currently</w:t>
      </w:r>
      <w:r w:rsidRPr="3AFBC84D">
        <w:rPr>
          <w:rFonts w:ascii="Calibri" w:eastAsia="Calibri" w:hAnsi="Calibri" w:cs="Calibri"/>
          <w:sz w:val="24"/>
          <w:szCs w:val="24"/>
        </w:rPr>
        <w:t xml:space="preserve"> </w:t>
      </w:r>
      <w:r w:rsidR="00BB0A00">
        <w:rPr>
          <w:rFonts w:ascii="Calibri" w:eastAsia="Calibri" w:hAnsi="Calibri" w:cs="Calibri"/>
          <w:sz w:val="24"/>
          <w:szCs w:val="24"/>
        </w:rPr>
        <w:t>low use of industrial scrubbers currently in China</w:t>
      </w:r>
      <w:r w:rsidRPr="3AFBC84D">
        <w:rPr>
          <w:rFonts w:ascii="Calibri" w:eastAsia="Calibri" w:hAnsi="Calibri" w:cs="Calibri"/>
          <w:sz w:val="24"/>
          <w:szCs w:val="24"/>
        </w:rPr>
        <w:t xml:space="preserve">, Tennant wanted a product that was less expensive but still a good product. This is where </w:t>
      </w:r>
      <w:proofErr w:type="spellStart"/>
      <w:r w:rsidRPr="3AFBC84D">
        <w:rPr>
          <w:rFonts w:ascii="Calibri" w:eastAsia="Calibri" w:hAnsi="Calibri" w:cs="Calibri"/>
          <w:sz w:val="24"/>
          <w:szCs w:val="24"/>
        </w:rPr>
        <w:t>Gaomei</w:t>
      </w:r>
      <w:proofErr w:type="spellEnd"/>
      <w:r w:rsidRPr="3AFBC84D">
        <w:rPr>
          <w:rFonts w:ascii="Calibri" w:eastAsia="Calibri" w:hAnsi="Calibri" w:cs="Calibri"/>
          <w:sz w:val="24"/>
          <w:szCs w:val="24"/>
        </w:rPr>
        <w:t xml:space="preserve"> comes in. They are inexpensive and reliable. This makes </w:t>
      </w:r>
      <w:r w:rsidR="00BB0A00">
        <w:rPr>
          <w:rFonts w:ascii="Calibri" w:eastAsia="Calibri" w:hAnsi="Calibri" w:cs="Calibri"/>
          <w:sz w:val="24"/>
          <w:szCs w:val="24"/>
        </w:rPr>
        <w:t>a</w:t>
      </w:r>
      <w:r w:rsidRPr="3AFBC84D">
        <w:rPr>
          <w:rFonts w:ascii="Calibri" w:eastAsia="Calibri" w:hAnsi="Calibri" w:cs="Calibri"/>
          <w:sz w:val="24"/>
          <w:szCs w:val="24"/>
        </w:rPr>
        <w:t xml:space="preserve"> switch to one of these machines easy and cost-effective for customers.</w:t>
      </w:r>
    </w:p>
    <w:p w14:paraId="6A2408F5" w14:textId="0262912B" w:rsidR="0EFB4FBA" w:rsidRPr="00700724" w:rsidRDefault="00700724" w:rsidP="00700724">
      <w:pPr>
        <w:spacing w:line="276" w:lineRule="auto"/>
        <w:rPr>
          <w:rFonts w:ascii="Calibri" w:eastAsia="Calibri" w:hAnsi="Calibri" w:cs="Calibri"/>
          <w:b/>
          <w:sz w:val="32"/>
          <w:szCs w:val="32"/>
          <w:u w:val="single"/>
        </w:rPr>
      </w:pPr>
      <w:r w:rsidRPr="00700724">
        <w:rPr>
          <w:rFonts w:ascii="Calibri" w:eastAsia="Calibri" w:hAnsi="Calibri" w:cs="Calibri"/>
          <w:b/>
          <w:sz w:val="32"/>
          <w:szCs w:val="32"/>
          <w:u w:val="single"/>
        </w:rPr>
        <w:t>Business Model</w:t>
      </w:r>
    </w:p>
    <w:p w14:paraId="245E36A8" w14:textId="6C53FB17" w:rsidR="0EFB4FBA" w:rsidRDefault="3AFBC84D" w:rsidP="3AFBC84D">
      <w:pPr>
        <w:spacing w:line="276" w:lineRule="auto"/>
        <w:rPr>
          <w:rFonts w:ascii="Calibri" w:eastAsia="Calibri" w:hAnsi="Calibri" w:cs="Calibri"/>
          <w:sz w:val="24"/>
          <w:szCs w:val="24"/>
        </w:rPr>
      </w:pPr>
      <w:r w:rsidRPr="3AFBC84D">
        <w:rPr>
          <w:rFonts w:ascii="Calibri" w:eastAsia="Calibri" w:hAnsi="Calibri" w:cs="Calibri"/>
          <w:sz w:val="24"/>
          <w:szCs w:val="24"/>
        </w:rPr>
        <w:t xml:space="preserve">When looking at Tennant’s business model, there are multiple things to consider. First, their biggest driver of </w:t>
      </w:r>
      <w:r w:rsidR="00D70E1D">
        <w:rPr>
          <w:rFonts w:ascii="Calibri" w:eastAsia="Calibri" w:hAnsi="Calibri" w:cs="Calibri"/>
          <w:sz w:val="24"/>
          <w:szCs w:val="24"/>
        </w:rPr>
        <w:t>revenue</w:t>
      </w:r>
      <w:r w:rsidRPr="3AFBC84D">
        <w:rPr>
          <w:rFonts w:ascii="Calibri" w:eastAsia="Calibri" w:hAnsi="Calibri" w:cs="Calibri"/>
          <w:sz w:val="24"/>
          <w:szCs w:val="24"/>
        </w:rPr>
        <w:t xml:space="preserve"> is the</w:t>
      </w:r>
      <w:r w:rsidR="00D70E1D">
        <w:rPr>
          <w:rFonts w:ascii="Calibri" w:eastAsia="Calibri" w:hAnsi="Calibri" w:cs="Calibri"/>
          <w:sz w:val="24"/>
          <w:szCs w:val="24"/>
        </w:rPr>
        <w:t>ir</w:t>
      </w:r>
      <w:r w:rsidRPr="3AFBC84D">
        <w:rPr>
          <w:rFonts w:ascii="Calibri" w:eastAsia="Calibri" w:hAnsi="Calibri" w:cs="Calibri"/>
          <w:sz w:val="24"/>
          <w:szCs w:val="24"/>
        </w:rPr>
        <w:t xml:space="preserve"> sale</w:t>
      </w:r>
      <w:r w:rsidR="00D70E1D">
        <w:rPr>
          <w:rFonts w:ascii="Calibri" w:eastAsia="Calibri" w:hAnsi="Calibri" w:cs="Calibri"/>
          <w:sz w:val="24"/>
          <w:szCs w:val="24"/>
        </w:rPr>
        <w:t>s</w:t>
      </w:r>
      <w:r w:rsidRPr="3AFBC84D">
        <w:rPr>
          <w:rFonts w:ascii="Calibri" w:eastAsia="Calibri" w:hAnsi="Calibri" w:cs="Calibri"/>
          <w:sz w:val="24"/>
          <w:szCs w:val="24"/>
        </w:rPr>
        <w:t xml:space="preserve"> of commercial and industrial floor scrubbers and sweepers. This is where </w:t>
      </w:r>
      <w:r w:rsidR="00D70E1D">
        <w:rPr>
          <w:rFonts w:ascii="Calibri" w:eastAsia="Calibri" w:hAnsi="Calibri" w:cs="Calibri"/>
          <w:sz w:val="24"/>
          <w:szCs w:val="24"/>
        </w:rPr>
        <w:t>Tennant is</w:t>
      </w:r>
      <w:r w:rsidRPr="3AFBC84D">
        <w:rPr>
          <w:rFonts w:ascii="Calibri" w:eastAsia="Calibri" w:hAnsi="Calibri" w:cs="Calibri"/>
          <w:sz w:val="24"/>
          <w:szCs w:val="24"/>
        </w:rPr>
        <w:t xml:space="preserve"> going to get most of their income. They make sales based on being the highest-quality provider. They are the leader in the automated aspect of the industry as well.</w:t>
      </w:r>
      <w:r w:rsidRPr="3AFBC84D">
        <w:rPr>
          <w:sz w:val="24"/>
          <w:szCs w:val="24"/>
        </w:rPr>
        <w:t xml:space="preserve"> </w:t>
      </w:r>
      <w:r w:rsidRPr="3AFBC84D">
        <w:rPr>
          <w:rFonts w:ascii="Calibri" w:eastAsia="Calibri" w:hAnsi="Calibri" w:cs="Calibri"/>
          <w:sz w:val="24"/>
          <w:szCs w:val="24"/>
        </w:rPr>
        <w:t>They also pride themselves as an industry leader in service. When help is needed with a machine, they want to offer quality service better than any of their competitors. This is a reason that they believe that their customers come back and buy new machine</w:t>
      </w:r>
      <w:r w:rsidR="00D70E1D">
        <w:rPr>
          <w:rFonts w:ascii="Calibri" w:eastAsia="Calibri" w:hAnsi="Calibri" w:cs="Calibri"/>
          <w:sz w:val="24"/>
          <w:szCs w:val="24"/>
        </w:rPr>
        <w:t>s</w:t>
      </w:r>
      <w:r w:rsidRPr="3AFBC84D">
        <w:rPr>
          <w:rFonts w:ascii="Calibri" w:eastAsia="Calibri" w:hAnsi="Calibri" w:cs="Calibri"/>
          <w:sz w:val="24"/>
          <w:szCs w:val="24"/>
        </w:rPr>
        <w:t xml:space="preserve"> from them when they need a new one. And when servicing </w:t>
      </w:r>
      <w:r w:rsidR="00D70E1D">
        <w:rPr>
          <w:rFonts w:ascii="Calibri" w:eastAsia="Calibri" w:hAnsi="Calibri" w:cs="Calibri"/>
          <w:sz w:val="24"/>
          <w:szCs w:val="24"/>
        </w:rPr>
        <w:t>machines</w:t>
      </w:r>
      <w:r w:rsidRPr="3AFBC84D">
        <w:rPr>
          <w:rFonts w:ascii="Calibri" w:eastAsia="Calibri" w:hAnsi="Calibri" w:cs="Calibri"/>
          <w:sz w:val="24"/>
          <w:szCs w:val="24"/>
        </w:rPr>
        <w:t>, they can sell parts and consumables.</w:t>
      </w:r>
      <w:r w:rsidRPr="3AFBC84D">
        <w:rPr>
          <w:sz w:val="24"/>
          <w:szCs w:val="24"/>
        </w:rPr>
        <w:t xml:space="preserve"> </w:t>
      </w:r>
      <w:r w:rsidRPr="3AFBC84D">
        <w:rPr>
          <w:rFonts w:ascii="Calibri" w:eastAsia="Calibri" w:hAnsi="Calibri" w:cs="Calibri"/>
          <w:sz w:val="24"/>
          <w:szCs w:val="24"/>
        </w:rPr>
        <w:t>The sale of pre-owned equipment is also a way they can sell more machines, but it is also a way that Tennant can get their foot in the door to certain businesses. A business might not yet be able to afford a new machine, so they buy a pre-owned one. After they see the great service that Tennant provides, they may buy a new machine next time.</w:t>
      </w:r>
    </w:p>
    <w:p w14:paraId="45740CF4" w14:textId="461CFB32" w:rsidR="00700724" w:rsidRPr="00700724" w:rsidRDefault="00700724" w:rsidP="00700724">
      <w:pPr>
        <w:spacing w:line="276" w:lineRule="auto"/>
        <w:rPr>
          <w:b/>
          <w:sz w:val="32"/>
          <w:szCs w:val="32"/>
          <w:u w:val="single"/>
        </w:rPr>
      </w:pPr>
      <w:r w:rsidRPr="00700724">
        <w:rPr>
          <w:rFonts w:ascii="Calibri" w:eastAsia="Calibri" w:hAnsi="Calibri" w:cs="Calibri"/>
          <w:b/>
          <w:sz w:val="32"/>
          <w:szCs w:val="32"/>
          <w:u w:val="single"/>
        </w:rPr>
        <w:t>Revenue Streams</w:t>
      </w:r>
    </w:p>
    <w:p w14:paraId="06373D89" w14:textId="4996F604" w:rsidR="0EFB4FBA" w:rsidRDefault="0ECB6F8D" w:rsidP="00700724">
      <w:pPr>
        <w:spacing w:line="276" w:lineRule="auto"/>
        <w:rPr>
          <w:rFonts w:ascii="Calibri" w:eastAsia="Calibri" w:hAnsi="Calibri" w:cs="Calibri"/>
          <w:sz w:val="24"/>
          <w:szCs w:val="24"/>
        </w:rPr>
      </w:pPr>
      <w:r w:rsidRPr="00700724">
        <w:rPr>
          <w:rFonts w:ascii="Calibri" w:eastAsia="Calibri" w:hAnsi="Calibri" w:cs="Calibri"/>
          <w:sz w:val="24"/>
          <w:szCs w:val="24"/>
        </w:rPr>
        <w:t>Looking at what drives sales, equipment is easily the highest. Tennant is an industrial firm and about two-thirds of revenue will come from them selling machines. They also get revenue from parts and consumables and service costs as well as a small amount from coatings. While these make up a smaller amount of revenue, they may be important in driving sales. Having good service and good parts to keep machines up and running will increase customer retention and keep customers coming back for more machines in the future.</w:t>
      </w:r>
      <w:r w:rsidR="00700724">
        <w:rPr>
          <w:sz w:val="24"/>
          <w:szCs w:val="24"/>
        </w:rPr>
        <w:t xml:space="preserve"> </w:t>
      </w:r>
      <w:r w:rsidRPr="00700724">
        <w:rPr>
          <w:rFonts w:ascii="Calibri" w:eastAsia="Calibri" w:hAnsi="Calibri" w:cs="Calibri"/>
          <w:sz w:val="24"/>
          <w:szCs w:val="24"/>
        </w:rPr>
        <w:t xml:space="preserve">Breaking this down further into revenue streams, we see that the most </w:t>
      </w:r>
      <w:r w:rsidR="007A5FE0">
        <w:rPr>
          <w:rFonts w:ascii="Calibri" w:eastAsia="Calibri" w:hAnsi="Calibri" w:cs="Calibri"/>
          <w:sz w:val="24"/>
          <w:szCs w:val="24"/>
        </w:rPr>
        <w:t xml:space="preserve">revenue </w:t>
      </w:r>
      <w:r w:rsidRPr="00700724">
        <w:rPr>
          <w:rFonts w:ascii="Calibri" w:eastAsia="Calibri" w:hAnsi="Calibri" w:cs="Calibri"/>
          <w:sz w:val="24"/>
          <w:szCs w:val="24"/>
        </w:rPr>
        <w:t>come</w:t>
      </w:r>
      <w:r w:rsidR="007A5FE0">
        <w:rPr>
          <w:rFonts w:ascii="Calibri" w:eastAsia="Calibri" w:hAnsi="Calibri" w:cs="Calibri"/>
          <w:sz w:val="24"/>
          <w:szCs w:val="24"/>
        </w:rPr>
        <w:t>s</w:t>
      </w:r>
      <w:r w:rsidRPr="00700724">
        <w:rPr>
          <w:rFonts w:ascii="Calibri" w:eastAsia="Calibri" w:hAnsi="Calibri" w:cs="Calibri"/>
          <w:sz w:val="24"/>
          <w:szCs w:val="24"/>
        </w:rPr>
        <w:t xml:space="preserve"> from the sales of high-quality Tennant cleaning machines. This is the biggest part of their business and generates the most sales. They have a large contract with Walmart and many other large buildings have these machines. They have even been spotted all around the </w:t>
      </w:r>
      <w:r w:rsidR="00700724">
        <w:rPr>
          <w:rFonts w:ascii="Calibri" w:eastAsia="Calibri" w:hAnsi="Calibri" w:cs="Calibri"/>
          <w:sz w:val="24"/>
          <w:szCs w:val="24"/>
        </w:rPr>
        <w:t xml:space="preserve">Winona State University Campus. </w:t>
      </w:r>
      <w:r w:rsidRPr="00700724">
        <w:rPr>
          <w:rFonts w:ascii="Calibri" w:eastAsia="Calibri" w:hAnsi="Calibri" w:cs="Calibri"/>
          <w:sz w:val="24"/>
          <w:szCs w:val="24"/>
        </w:rPr>
        <w:t xml:space="preserve">After the acquisition </w:t>
      </w:r>
      <w:r w:rsidRPr="00700724">
        <w:rPr>
          <w:rFonts w:ascii="Calibri" w:eastAsia="Calibri" w:hAnsi="Calibri" w:cs="Calibri"/>
          <w:sz w:val="24"/>
          <w:szCs w:val="24"/>
        </w:rPr>
        <w:lastRenderedPageBreak/>
        <w:t xml:space="preserve">of IPC in 2017, Tennant gained its sales and gained a significant boost in revenue from it. IPC opens them up more to the mid-tier floor scrubber market. It also gives them a hold on the European market where IPC is based out of. Tennant also purchased </w:t>
      </w:r>
      <w:proofErr w:type="spellStart"/>
      <w:r w:rsidRPr="00700724">
        <w:rPr>
          <w:rFonts w:ascii="Calibri" w:eastAsia="Calibri" w:hAnsi="Calibri" w:cs="Calibri"/>
          <w:sz w:val="24"/>
          <w:szCs w:val="24"/>
        </w:rPr>
        <w:t>Gaomei</w:t>
      </w:r>
      <w:proofErr w:type="spellEnd"/>
      <w:r w:rsidRPr="00700724">
        <w:rPr>
          <w:rFonts w:ascii="Calibri" w:eastAsia="Calibri" w:hAnsi="Calibri" w:cs="Calibri"/>
          <w:sz w:val="24"/>
          <w:szCs w:val="24"/>
        </w:rPr>
        <w:t xml:space="preserve"> shortly after. This is their largest opportunity for growth. China’s current cleaning systems are based largely around mop and bucket. This means there are many companies that will upgrade to cleaning machines as the country develops more and more. These machines are lower-tier quality. This can be an advantage as most companies are not ready to get an expensive machine and are more likely to purchase a less expensive model. There could be complications involved with the current </w:t>
      </w:r>
      <w:proofErr w:type="gramStart"/>
      <w:r w:rsidRPr="00700724">
        <w:rPr>
          <w:rFonts w:ascii="Calibri" w:eastAsia="Calibri" w:hAnsi="Calibri" w:cs="Calibri"/>
          <w:sz w:val="24"/>
          <w:szCs w:val="24"/>
        </w:rPr>
        <w:t>Chinese-American</w:t>
      </w:r>
      <w:proofErr w:type="gramEnd"/>
      <w:r w:rsidRPr="00700724">
        <w:rPr>
          <w:rFonts w:ascii="Calibri" w:eastAsia="Calibri" w:hAnsi="Calibri" w:cs="Calibri"/>
          <w:sz w:val="24"/>
          <w:szCs w:val="24"/>
        </w:rPr>
        <w:t xml:space="preserve"> trade war, but since the company was originally Chinese and operates fully within China it shouldn’t cause many issues. There should not be any send</w:t>
      </w:r>
      <w:r w:rsidR="00700724">
        <w:rPr>
          <w:rFonts w:ascii="Calibri" w:eastAsia="Calibri" w:hAnsi="Calibri" w:cs="Calibri"/>
          <w:sz w:val="24"/>
          <w:szCs w:val="24"/>
        </w:rPr>
        <w:t>ing of equipment back and forth.</w:t>
      </w:r>
    </w:p>
    <w:p w14:paraId="4D4BAD40" w14:textId="539B3957" w:rsidR="000A6FF2" w:rsidRPr="00700724" w:rsidRDefault="00700724" w:rsidP="00700724">
      <w:pPr>
        <w:spacing w:line="276" w:lineRule="auto"/>
        <w:rPr>
          <w:b/>
          <w:sz w:val="32"/>
          <w:szCs w:val="32"/>
          <w:u w:val="single"/>
        </w:rPr>
      </w:pPr>
      <w:r>
        <w:rPr>
          <w:rFonts w:ascii="Calibri" w:eastAsia="Calibri" w:hAnsi="Calibri" w:cs="Calibri"/>
          <w:b/>
          <w:sz w:val="32"/>
          <w:szCs w:val="32"/>
          <w:u w:val="single"/>
        </w:rPr>
        <w:t>Key Ratios</w:t>
      </w:r>
    </w:p>
    <w:p w14:paraId="2147E886" w14:textId="1CED3908" w:rsidR="00324BCC" w:rsidRPr="00324BCC" w:rsidRDefault="00EE59B5" w:rsidP="00700724">
      <w:pPr>
        <w:spacing w:line="276" w:lineRule="auto"/>
        <w:rPr>
          <w:rFonts w:ascii="Calibri" w:eastAsia="Calibri" w:hAnsi="Calibri" w:cs="Calibri"/>
          <w:b/>
        </w:rPr>
      </w:pPr>
      <w:r w:rsidRPr="00700724">
        <w:rPr>
          <w:rFonts w:ascii="Calibri" w:eastAsia="Calibri" w:hAnsi="Calibri" w:cs="Calibri"/>
          <w:sz w:val="24"/>
          <w:szCs w:val="24"/>
        </w:rPr>
        <w:t>When looking at Tennant’s financials</w:t>
      </w:r>
      <w:r w:rsidR="000A6FF2" w:rsidRPr="00700724">
        <w:rPr>
          <w:rFonts w:ascii="Calibri" w:eastAsia="Calibri" w:hAnsi="Calibri" w:cs="Calibri"/>
          <w:sz w:val="24"/>
          <w:szCs w:val="24"/>
        </w:rPr>
        <w:t>/ratios, we chose six figures that we found to be most important</w:t>
      </w:r>
      <w:r w:rsidR="000A6FF2">
        <w:rPr>
          <w:rFonts w:ascii="Calibri" w:eastAsia="Calibri" w:hAnsi="Calibri" w:cs="Calibri"/>
        </w:rPr>
        <w:t>.</w:t>
      </w:r>
      <w:r w:rsidR="00A0595A" w:rsidRPr="000E3FC7">
        <w:rPr>
          <w:rFonts w:ascii="Calibri" w:eastAsia="Calibri" w:hAnsi="Calibri" w:cs="Calibri"/>
          <w:b/>
          <w:noProof/>
        </w:rPr>
        <mc:AlternateContent>
          <mc:Choice Requires="wps">
            <w:drawing>
              <wp:inline distT="0" distB="0" distL="0" distR="0" wp14:anchorId="1FAC9515" wp14:editId="3EA5F1AB">
                <wp:extent cx="5943600" cy="2945081"/>
                <wp:effectExtent l="0" t="0" r="1905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45081"/>
                        </a:xfrm>
                        <a:prstGeom prst="rect">
                          <a:avLst/>
                        </a:prstGeom>
                        <a:solidFill>
                          <a:srgbClr val="FFFFFF"/>
                        </a:solidFill>
                        <a:ln w="9525">
                          <a:solidFill>
                            <a:schemeClr val="bg1"/>
                          </a:solidFill>
                          <a:miter lim="800000"/>
                          <a:headEnd/>
                          <a:tailEnd/>
                        </a:ln>
                      </wps:spPr>
                      <wps:txbx>
                        <w:txbxContent>
                          <w:p w14:paraId="7F840857" w14:textId="77777777" w:rsidR="00A0595A" w:rsidRPr="000E3FC7" w:rsidRDefault="00A0595A" w:rsidP="00A0595A">
                            <w:pPr>
                              <w:rPr>
                                <w:rFonts w:ascii="Times New Roman" w:eastAsia="Times New Roman" w:hAnsi="Times New Roman" w:cs="Times New Roman"/>
                                <w:sz w:val="24"/>
                                <w:szCs w:val="24"/>
                              </w:rPr>
                            </w:pPr>
                            <w:r w:rsidRPr="000E3FC7">
                              <w:rPr>
                                <w:rFonts w:ascii="Times New Roman" w:eastAsia="Times New Roman" w:hAnsi="Times New Roman" w:cs="Times New Roman"/>
                                <w:sz w:val="24"/>
                                <w:szCs w:val="24"/>
                              </w:rPr>
                              <w:t> </w:t>
                            </w:r>
                          </w:p>
                          <w:tbl>
                            <w:tblPr>
                              <w:tblW w:w="103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2"/>
                              <w:gridCol w:w="5040"/>
                            </w:tblGrid>
                            <w:tr w:rsidR="00A0595A" w:rsidRPr="00A0595A" w14:paraId="58C568BC" w14:textId="77777777" w:rsidTr="00A0595A">
                              <w:trPr>
                                <w:trHeight w:val="512"/>
                              </w:trPr>
                              <w:tc>
                                <w:tcPr>
                                  <w:tcW w:w="5302" w:type="dxa"/>
                                  <w:tcBorders>
                                    <w:top w:val="single" w:sz="6" w:space="0" w:color="FFFFFF"/>
                                    <w:left w:val="single" w:sz="6" w:space="0" w:color="FFFFFF"/>
                                    <w:bottom w:val="single" w:sz="12" w:space="0" w:color="FFFFFF"/>
                                    <w:right w:val="single" w:sz="6" w:space="0" w:color="FFFFFF"/>
                                  </w:tcBorders>
                                  <w:shd w:val="clear" w:color="auto" w:fill="40BAD2"/>
                                  <w:hideMark/>
                                </w:tcPr>
                                <w:p w14:paraId="0740FFF9"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b/>
                                      <w:bCs/>
                                      <w:color w:val="FFFFFF"/>
                                      <w:sz w:val="14"/>
                                      <w:szCs w:val="24"/>
                                    </w:rPr>
                                  </w:pPr>
                                  <w:r w:rsidRPr="00A0595A">
                                    <w:rPr>
                                      <w:rFonts w:ascii="Corbel" w:eastAsia="Times New Roman" w:hAnsi="Corbel" w:cs="Times New Roman"/>
                                      <w:b/>
                                      <w:bCs/>
                                      <w:color w:val="FFFFFF"/>
                                      <w:position w:val="2"/>
                                      <w:sz w:val="36"/>
                                      <w:szCs w:val="56"/>
                                    </w:rPr>
                                    <w:t>Financial</w:t>
                                  </w:r>
                                  <w:r w:rsidRPr="00A0595A">
                                    <w:rPr>
                                      <w:rFonts w:ascii="Arial" w:eastAsia="Times New Roman" w:hAnsi="Arial" w:cs="Arial"/>
                                      <w:b/>
                                      <w:bCs/>
                                      <w:color w:val="FFFFFF"/>
                                      <w:sz w:val="36"/>
                                      <w:szCs w:val="56"/>
                                    </w:rPr>
                                    <w:t>​</w:t>
                                  </w:r>
                                </w:p>
                              </w:tc>
                              <w:tc>
                                <w:tcPr>
                                  <w:tcW w:w="5040" w:type="dxa"/>
                                  <w:tcBorders>
                                    <w:top w:val="single" w:sz="6" w:space="0" w:color="FFFFFF"/>
                                    <w:left w:val="single" w:sz="6" w:space="0" w:color="FFFFFF"/>
                                    <w:bottom w:val="single" w:sz="12" w:space="0" w:color="FFFFFF"/>
                                    <w:right w:val="single" w:sz="6" w:space="0" w:color="FFFFFF"/>
                                  </w:tcBorders>
                                  <w:shd w:val="clear" w:color="auto" w:fill="40BAD2"/>
                                  <w:hideMark/>
                                </w:tcPr>
                                <w:p w14:paraId="63A8AB6D"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b/>
                                      <w:bCs/>
                                      <w:color w:val="FFFFFF"/>
                                      <w:sz w:val="14"/>
                                      <w:szCs w:val="24"/>
                                    </w:rPr>
                                  </w:pPr>
                                  <w:r w:rsidRPr="00A0595A">
                                    <w:rPr>
                                      <w:rFonts w:ascii="Corbel" w:eastAsia="Times New Roman" w:hAnsi="Corbel" w:cs="Times New Roman"/>
                                      <w:b/>
                                      <w:bCs/>
                                      <w:color w:val="FFFFFF"/>
                                      <w:position w:val="2"/>
                                      <w:sz w:val="36"/>
                                      <w:szCs w:val="56"/>
                                    </w:rPr>
                                    <w:t>Ratio</w:t>
                                  </w:r>
                                  <w:r w:rsidRPr="00A0595A">
                                    <w:rPr>
                                      <w:rFonts w:ascii="Arial" w:eastAsia="Times New Roman" w:hAnsi="Arial" w:cs="Arial"/>
                                      <w:b/>
                                      <w:bCs/>
                                      <w:color w:val="FFFFFF"/>
                                      <w:sz w:val="36"/>
                                      <w:szCs w:val="56"/>
                                    </w:rPr>
                                    <w:t>​</w:t>
                                  </w:r>
                                </w:p>
                              </w:tc>
                            </w:tr>
                            <w:tr w:rsidR="00A0595A" w:rsidRPr="00A0595A" w14:paraId="23413AF6" w14:textId="77777777" w:rsidTr="00A0595A">
                              <w:trPr>
                                <w:trHeight w:val="551"/>
                              </w:trPr>
                              <w:tc>
                                <w:tcPr>
                                  <w:tcW w:w="5302" w:type="dxa"/>
                                  <w:tcBorders>
                                    <w:top w:val="single" w:sz="12" w:space="0" w:color="FFFFFF"/>
                                    <w:left w:val="single" w:sz="6" w:space="0" w:color="FFFFFF"/>
                                    <w:bottom w:val="single" w:sz="6" w:space="0" w:color="FFFFFF"/>
                                    <w:right w:val="single" w:sz="6" w:space="0" w:color="FFFFFF"/>
                                  </w:tcBorders>
                                  <w:shd w:val="clear" w:color="auto" w:fill="CEE7EE"/>
                                  <w:hideMark/>
                                </w:tcPr>
                                <w:p w14:paraId="284FE2F8"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Debt to Equity</w:t>
                                  </w:r>
                                  <w:r w:rsidRPr="00A0595A">
                                    <w:rPr>
                                      <w:rFonts w:ascii="Arial" w:eastAsia="Times New Roman" w:hAnsi="Arial" w:cs="Arial"/>
                                      <w:color w:val="000000"/>
                                      <w:sz w:val="36"/>
                                      <w:szCs w:val="56"/>
                                    </w:rPr>
                                    <w:t>​</w:t>
                                  </w:r>
                                </w:p>
                              </w:tc>
                              <w:tc>
                                <w:tcPr>
                                  <w:tcW w:w="5040" w:type="dxa"/>
                                  <w:tcBorders>
                                    <w:top w:val="single" w:sz="12" w:space="0" w:color="FFFFFF"/>
                                    <w:left w:val="single" w:sz="6" w:space="0" w:color="FFFFFF"/>
                                    <w:bottom w:val="single" w:sz="6" w:space="0" w:color="FFFFFF"/>
                                    <w:right w:val="single" w:sz="6" w:space="0" w:color="FFFFFF"/>
                                  </w:tcBorders>
                                  <w:shd w:val="clear" w:color="auto" w:fill="CEE7EE"/>
                                  <w:hideMark/>
                                </w:tcPr>
                                <w:p w14:paraId="1BC30270"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1.06x</w:t>
                                  </w:r>
                                  <w:r w:rsidRPr="00A0595A">
                                    <w:rPr>
                                      <w:rFonts w:ascii="Arial" w:eastAsia="Times New Roman" w:hAnsi="Arial" w:cs="Arial"/>
                                      <w:color w:val="000000"/>
                                      <w:sz w:val="36"/>
                                      <w:szCs w:val="56"/>
                                    </w:rPr>
                                    <w:t>​</w:t>
                                  </w:r>
                                </w:p>
                              </w:tc>
                            </w:tr>
                            <w:tr w:rsidR="00A0595A" w:rsidRPr="00A0595A" w14:paraId="68762765" w14:textId="77777777" w:rsidTr="00A0595A">
                              <w:trPr>
                                <w:trHeight w:val="503"/>
                              </w:trPr>
                              <w:tc>
                                <w:tcPr>
                                  <w:tcW w:w="5302" w:type="dxa"/>
                                  <w:tcBorders>
                                    <w:top w:val="single" w:sz="6" w:space="0" w:color="FFFFFF"/>
                                    <w:left w:val="single" w:sz="6" w:space="0" w:color="FFFFFF"/>
                                    <w:bottom w:val="single" w:sz="6" w:space="0" w:color="FFFFFF"/>
                                    <w:right w:val="single" w:sz="6" w:space="0" w:color="FFFFFF"/>
                                  </w:tcBorders>
                                  <w:shd w:val="clear" w:color="auto" w:fill="E8F3F7"/>
                                  <w:hideMark/>
                                </w:tcPr>
                                <w:p w14:paraId="187FB2A8"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Price to Earnings</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E8F3F7"/>
                                  <w:hideMark/>
                                </w:tcPr>
                                <w:p w14:paraId="75F58EDA" w14:textId="77777777" w:rsidR="00A0595A" w:rsidRPr="000E3FC7" w:rsidRDefault="00A0595A" w:rsidP="00700724">
                                  <w:pPr>
                                    <w:spacing w:before="100" w:beforeAutospacing="1" w:after="100" w:afterAutospacing="1" w:line="240" w:lineRule="auto"/>
                                    <w:jc w:val="center"/>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33.82x</w:t>
                                  </w:r>
                                  <w:r w:rsidRPr="00A0595A">
                                    <w:rPr>
                                      <w:rFonts w:ascii="Arial" w:eastAsia="Times New Roman" w:hAnsi="Arial" w:cs="Arial"/>
                                      <w:color w:val="000000"/>
                                      <w:sz w:val="36"/>
                                      <w:szCs w:val="56"/>
                                    </w:rPr>
                                    <w:t>​</w:t>
                                  </w:r>
                                </w:p>
                              </w:tc>
                            </w:tr>
                            <w:tr w:rsidR="00A0595A" w:rsidRPr="00A0595A" w14:paraId="7A357C3B" w14:textId="77777777" w:rsidTr="00A0595A">
                              <w:trPr>
                                <w:trHeight w:val="494"/>
                              </w:trPr>
                              <w:tc>
                                <w:tcPr>
                                  <w:tcW w:w="5302" w:type="dxa"/>
                                  <w:tcBorders>
                                    <w:top w:val="single" w:sz="6" w:space="0" w:color="FFFFFF"/>
                                    <w:left w:val="single" w:sz="6" w:space="0" w:color="FFFFFF"/>
                                    <w:bottom w:val="single" w:sz="6" w:space="0" w:color="FFFFFF"/>
                                    <w:right w:val="single" w:sz="6" w:space="0" w:color="FFFFFF"/>
                                  </w:tcBorders>
                                  <w:shd w:val="clear" w:color="auto" w:fill="CEE7EE"/>
                                  <w:hideMark/>
                                </w:tcPr>
                                <w:p w14:paraId="17D2449B"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Return on Equity</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CEE7EE"/>
                                  <w:hideMark/>
                                </w:tcPr>
                                <w:p w14:paraId="789EABE6"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11.86%</w:t>
                                  </w:r>
                                  <w:r w:rsidRPr="00A0595A">
                                    <w:rPr>
                                      <w:rFonts w:ascii="Arial" w:eastAsia="Times New Roman" w:hAnsi="Arial" w:cs="Arial"/>
                                      <w:color w:val="000000"/>
                                      <w:sz w:val="36"/>
                                      <w:szCs w:val="56"/>
                                    </w:rPr>
                                    <w:t>​</w:t>
                                  </w:r>
                                </w:p>
                              </w:tc>
                            </w:tr>
                            <w:tr w:rsidR="00A0595A" w:rsidRPr="00A0595A" w14:paraId="4FA91F72" w14:textId="77777777" w:rsidTr="00A0595A">
                              <w:trPr>
                                <w:trHeight w:val="494"/>
                              </w:trPr>
                              <w:tc>
                                <w:tcPr>
                                  <w:tcW w:w="5302" w:type="dxa"/>
                                  <w:tcBorders>
                                    <w:top w:val="single" w:sz="6" w:space="0" w:color="FFFFFF"/>
                                    <w:left w:val="single" w:sz="6" w:space="0" w:color="FFFFFF"/>
                                    <w:bottom w:val="single" w:sz="6" w:space="0" w:color="FFFFFF"/>
                                    <w:right w:val="single" w:sz="6" w:space="0" w:color="FFFFFF"/>
                                  </w:tcBorders>
                                  <w:shd w:val="clear" w:color="auto" w:fill="E8F3F7"/>
                                  <w:hideMark/>
                                </w:tcPr>
                                <w:p w14:paraId="70EBD001"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Gross Margin</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E8F3F7"/>
                                  <w:hideMark/>
                                </w:tcPr>
                                <w:p w14:paraId="219797D9"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39.67%</w:t>
                                  </w:r>
                                  <w:r w:rsidRPr="00A0595A">
                                    <w:rPr>
                                      <w:rFonts w:ascii="Arial" w:eastAsia="Times New Roman" w:hAnsi="Arial" w:cs="Arial"/>
                                      <w:color w:val="000000"/>
                                      <w:sz w:val="36"/>
                                      <w:szCs w:val="56"/>
                                    </w:rPr>
                                    <w:t>​</w:t>
                                  </w:r>
                                </w:p>
                              </w:tc>
                            </w:tr>
                            <w:tr w:rsidR="00A0595A" w:rsidRPr="00A0595A" w14:paraId="2FF814FE" w14:textId="77777777" w:rsidTr="00A0595A">
                              <w:trPr>
                                <w:trHeight w:val="503"/>
                              </w:trPr>
                              <w:tc>
                                <w:tcPr>
                                  <w:tcW w:w="5302" w:type="dxa"/>
                                  <w:tcBorders>
                                    <w:top w:val="single" w:sz="6" w:space="0" w:color="FFFFFF"/>
                                    <w:left w:val="single" w:sz="6" w:space="0" w:color="FFFFFF"/>
                                    <w:bottom w:val="single" w:sz="6" w:space="0" w:color="FFFFFF"/>
                                    <w:right w:val="single" w:sz="6" w:space="0" w:color="FFFFFF"/>
                                  </w:tcBorders>
                                  <w:shd w:val="clear" w:color="auto" w:fill="CEE7EE"/>
                                  <w:hideMark/>
                                </w:tcPr>
                                <w:p w14:paraId="26283A6C"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Revenue Growth Over Next 3 Years</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CEE7EE"/>
                                  <w:hideMark/>
                                </w:tcPr>
                                <w:p w14:paraId="70560B30"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3%</w:t>
                                  </w:r>
                                  <w:r w:rsidRPr="00A0595A">
                                    <w:rPr>
                                      <w:rFonts w:ascii="Arial" w:eastAsia="Times New Roman" w:hAnsi="Arial" w:cs="Arial"/>
                                      <w:color w:val="000000"/>
                                      <w:sz w:val="36"/>
                                      <w:szCs w:val="56"/>
                                    </w:rPr>
                                    <w:t>​</w:t>
                                  </w:r>
                                </w:p>
                              </w:tc>
                            </w:tr>
                            <w:tr w:rsidR="00A0595A" w:rsidRPr="00A0595A" w14:paraId="0EBF87C4" w14:textId="77777777" w:rsidTr="00A0595A">
                              <w:trPr>
                                <w:trHeight w:val="485"/>
                              </w:trPr>
                              <w:tc>
                                <w:tcPr>
                                  <w:tcW w:w="5302" w:type="dxa"/>
                                  <w:tcBorders>
                                    <w:top w:val="single" w:sz="6" w:space="0" w:color="FFFFFF"/>
                                    <w:left w:val="single" w:sz="6" w:space="0" w:color="FFFFFF"/>
                                    <w:bottom w:val="single" w:sz="6" w:space="0" w:color="FFFFFF"/>
                                    <w:right w:val="single" w:sz="6" w:space="0" w:color="FFFFFF"/>
                                  </w:tcBorders>
                                  <w:shd w:val="clear" w:color="auto" w:fill="E8F3F7"/>
                                  <w:hideMark/>
                                </w:tcPr>
                                <w:p w14:paraId="5B4A251F"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Asset Turnover</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E8F3F7"/>
                                  <w:hideMark/>
                                </w:tcPr>
                                <w:p w14:paraId="467EEFBA"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1.09</w:t>
                                  </w:r>
                                  <w:r w:rsidRPr="00A0595A">
                                    <w:rPr>
                                      <w:rFonts w:ascii="Arial" w:eastAsia="Times New Roman" w:hAnsi="Arial" w:cs="Arial"/>
                                      <w:color w:val="000000"/>
                                      <w:sz w:val="36"/>
                                      <w:szCs w:val="56"/>
                                    </w:rPr>
                                    <w:t>​</w:t>
                                  </w:r>
                                </w:p>
                              </w:tc>
                            </w:tr>
                          </w:tbl>
                          <w:p w14:paraId="64C831D5" w14:textId="77777777" w:rsidR="00A0595A" w:rsidRPr="00A0595A" w:rsidRDefault="00A0595A" w:rsidP="00A0595A">
                            <w:pPr>
                              <w:rPr>
                                <w:sz w:val="12"/>
                              </w:rPr>
                            </w:pPr>
                          </w:p>
                        </w:txbxContent>
                      </wps:txbx>
                      <wps:bodyPr rot="0" vert="horz" wrap="square" lIns="91440" tIns="45720" rIns="91440" bIns="45720" anchor="t" anchorCtr="0">
                        <a:noAutofit/>
                      </wps:bodyPr>
                    </wps:wsp>
                  </a:graphicData>
                </a:graphic>
              </wp:inline>
            </w:drawing>
          </mc:Choice>
          <mc:Fallback>
            <w:pict>
              <v:shapetype w14:anchorId="1FAC9515" id="_x0000_t202" coordsize="21600,21600" o:spt="202" path="m,l,21600r21600,l21600,xe">
                <v:stroke joinstyle="miter"/>
                <v:path gradientshapeok="t" o:connecttype="rect"/>
              </v:shapetype>
              <v:shape id="Text Box 2" o:spid="_x0000_s1026" type="#_x0000_t202" style="width:468pt;height:2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" strokecolor="white [3212]">
                <v:textbox>
                  <w:txbxContent>
                    <w:p w14:paraId="7F840857" w14:textId="77777777" w:rsidR="00A0595A" w:rsidRPr="000E3FC7" w:rsidRDefault="00A0595A" w:rsidP="00A0595A">
                      <w:pPr>
                        <w:rPr>
                          <w:rFonts w:ascii="Times New Roman" w:eastAsia="Times New Roman" w:hAnsi="Times New Roman" w:cs="Times New Roman"/>
                          <w:sz w:val="24"/>
                          <w:szCs w:val="24"/>
                        </w:rPr>
                      </w:pPr>
                      <w:r w:rsidRPr="000E3FC7">
                        <w:rPr>
                          <w:rFonts w:ascii="Times New Roman" w:eastAsia="Times New Roman" w:hAnsi="Times New Roman" w:cs="Times New Roman"/>
                          <w:sz w:val="24"/>
                          <w:szCs w:val="24"/>
                        </w:rPr>
                        <w:t> </w:t>
                      </w:r>
                    </w:p>
                    <w:tbl>
                      <w:tblPr>
                        <w:tblW w:w="103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2"/>
                        <w:gridCol w:w="5040"/>
                      </w:tblGrid>
                      <w:tr w:rsidR="00A0595A" w:rsidRPr="00A0595A" w14:paraId="58C568BC" w14:textId="77777777" w:rsidTr="00A0595A">
                        <w:trPr>
                          <w:trHeight w:val="512"/>
                        </w:trPr>
                        <w:tc>
                          <w:tcPr>
                            <w:tcW w:w="5302" w:type="dxa"/>
                            <w:tcBorders>
                              <w:top w:val="single" w:sz="6" w:space="0" w:color="FFFFFF"/>
                              <w:left w:val="single" w:sz="6" w:space="0" w:color="FFFFFF"/>
                              <w:bottom w:val="single" w:sz="12" w:space="0" w:color="FFFFFF"/>
                              <w:right w:val="single" w:sz="6" w:space="0" w:color="FFFFFF"/>
                            </w:tcBorders>
                            <w:shd w:val="clear" w:color="auto" w:fill="40BAD2"/>
                            <w:hideMark/>
                          </w:tcPr>
                          <w:p w14:paraId="0740FFF9"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b/>
                                <w:bCs/>
                                <w:color w:val="FFFFFF"/>
                                <w:sz w:val="14"/>
                                <w:szCs w:val="24"/>
                              </w:rPr>
                            </w:pPr>
                            <w:r w:rsidRPr="00A0595A">
                              <w:rPr>
                                <w:rFonts w:ascii="Corbel" w:eastAsia="Times New Roman" w:hAnsi="Corbel" w:cs="Times New Roman"/>
                                <w:b/>
                                <w:bCs/>
                                <w:color w:val="FFFFFF"/>
                                <w:position w:val="2"/>
                                <w:sz w:val="36"/>
                                <w:szCs w:val="56"/>
                              </w:rPr>
                              <w:t>Financial</w:t>
                            </w:r>
                            <w:r w:rsidRPr="00A0595A">
                              <w:rPr>
                                <w:rFonts w:ascii="Arial" w:eastAsia="Times New Roman" w:hAnsi="Arial" w:cs="Arial"/>
                                <w:b/>
                                <w:bCs/>
                                <w:color w:val="FFFFFF"/>
                                <w:sz w:val="36"/>
                                <w:szCs w:val="56"/>
                              </w:rPr>
                              <w:t>​</w:t>
                            </w:r>
                          </w:p>
                        </w:tc>
                        <w:tc>
                          <w:tcPr>
                            <w:tcW w:w="5040" w:type="dxa"/>
                            <w:tcBorders>
                              <w:top w:val="single" w:sz="6" w:space="0" w:color="FFFFFF"/>
                              <w:left w:val="single" w:sz="6" w:space="0" w:color="FFFFFF"/>
                              <w:bottom w:val="single" w:sz="12" w:space="0" w:color="FFFFFF"/>
                              <w:right w:val="single" w:sz="6" w:space="0" w:color="FFFFFF"/>
                            </w:tcBorders>
                            <w:shd w:val="clear" w:color="auto" w:fill="40BAD2"/>
                            <w:hideMark/>
                          </w:tcPr>
                          <w:p w14:paraId="63A8AB6D"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b/>
                                <w:bCs/>
                                <w:color w:val="FFFFFF"/>
                                <w:sz w:val="14"/>
                                <w:szCs w:val="24"/>
                              </w:rPr>
                            </w:pPr>
                            <w:r w:rsidRPr="00A0595A">
                              <w:rPr>
                                <w:rFonts w:ascii="Corbel" w:eastAsia="Times New Roman" w:hAnsi="Corbel" w:cs="Times New Roman"/>
                                <w:b/>
                                <w:bCs/>
                                <w:color w:val="FFFFFF"/>
                                <w:position w:val="2"/>
                                <w:sz w:val="36"/>
                                <w:szCs w:val="56"/>
                              </w:rPr>
                              <w:t>Ratio</w:t>
                            </w:r>
                            <w:r w:rsidRPr="00A0595A">
                              <w:rPr>
                                <w:rFonts w:ascii="Arial" w:eastAsia="Times New Roman" w:hAnsi="Arial" w:cs="Arial"/>
                                <w:b/>
                                <w:bCs/>
                                <w:color w:val="FFFFFF"/>
                                <w:sz w:val="36"/>
                                <w:szCs w:val="56"/>
                              </w:rPr>
                              <w:t>​</w:t>
                            </w:r>
                          </w:p>
                        </w:tc>
                      </w:tr>
                      <w:tr w:rsidR="00A0595A" w:rsidRPr="00A0595A" w14:paraId="23413AF6" w14:textId="77777777" w:rsidTr="00A0595A">
                        <w:trPr>
                          <w:trHeight w:val="551"/>
                        </w:trPr>
                        <w:tc>
                          <w:tcPr>
                            <w:tcW w:w="5302" w:type="dxa"/>
                            <w:tcBorders>
                              <w:top w:val="single" w:sz="12" w:space="0" w:color="FFFFFF"/>
                              <w:left w:val="single" w:sz="6" w:space="0" w:color="FFFFFF"/>
                              <w:bottom w:val="single" w:sz="6" w:space="0" w:color="FFFFFF"/>
                              <w:right w:val="single" w:sz="6" w:space="0" w:color="FFFFFF"/>
                            </w:tcBorders>
                            <w:shd w:val="clear" w:color="auto" w:fill="CEE7EE"/>
                            <w:hideMark/>
                          </w:tcPr>
                          <w:p w14:paraId="284FE2F8"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Debt to Equity</w:t>
                            </w:r>
                            <w:r w:rsidRPr="00A0595A">
                              <w:rPr>
                                <w:rFonts w:ascii="Arial" w:eastAsia="Times New Roman" w:hAnsi="Arial" w:cs="Arial"/>
                                <w:color w:val="000000"/>
                                <w:sz w:val="36"/>
                                <w:szCs w:val="56"/>
                              </w:rPr>
                              <w:t>​</w:t>
                            </w:r>
                          </w:p>
                        </w:tc>
                        <w:tc>
                          <w:tcPr>
                            <w:tcW w:w="5040" w:type="dxa"/>
                            <w:tcBorders>
                              <w:top w:val="single" w:sz="12" w:space="0" w:color="FFFFFF"/>
                              <w:left w:val="single" w:sz="6" w:space="0" w:color="FFFFFF"/>
                              <w:bottom w:val="single" w:sz="6" w:space="0" w:color="FFFFFF"/>
                              <w:right w:val="single" w:sz="6" w:space="0" w:color="FFFFFF"/>
                            </w:tcBorders>
                            <w:shd w:val="clear" w:color="auto" w:fill="CEE7EE"/>
                            <w:hideMark/>
                          </w:tcPr>
                          <w:p w14:paraId="1BC30270"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1.06x</w:t>
                            </w:r>
                            <w:r w:rsidRPr="00A0595A">
                              <w:rPr>
                                <w:rFonts w:ascii="Arial" w:eastAsia="Times New Roman" w:hAnsi="Arial" w:cs="Arial"/>
                                <w:color w:val="000000"/>
                                <w:sz w:val="36"/>
                                <w:szCs w:val="56"/>
                              </w:rPr>
                              <w:t>​</w:t>
                            </w:r>
                          </w:p>
                        </w:tc>
                      </w:tr>
                      <w:tr w:rsidR="00A0595A" w:rsidRPr="00A0595A" w14:paraId="68762765" w14:textId="77777777" w:rsidTr="00A0595A">
                        <w:trPr>
                          <w:trHeight w:val="503"/>
                        </w:trPr>
                        <w:tc>
                          <w:tcPr>
                            <w:tcW w:w="5302" w:type="dxa"/>
                            <w:tcBorders>
                              <w:top w:val="single" w:sz="6" w:space="0" w:color="FFFFFF"/>
                              <w:left w:val="single" w:sz="6" w:space="0" w:color="FFFFFF"/>
                              <w:bottom w:val="single" w:sz="6" w:space="0" w:color="FFFFFF"/>
                              <w:right w:val="single" w:sz="6" w:space="0" w:color="FFFFFF"/>
                            </w:tcBorders>
                            <w:shd w:val="clear" w:color="auto" w:fill="E8F3F7"/>
                            <w:hideMark/>
                          </w:tcPr>
                          <w:p w14:paraId="187FB2A8"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Price to Earnings</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E8F3F7"/>
                            <w:hideMark/>
                          </w:tcPr>
                          <w:p w14:paraId="75F58EDA" w14:textId="77777777" w:rsidR="00A0595A" w:rsidRPr="000E3FC7" w:rsidRDefault="00A0595A" w:rsidP="00700724">
                            <w:pPr>
                              <w:spacing w:before="100" w:beforeAutospacing="1" w:after="100" w:afterAutospacing="1" w:line="240" w:lineRule="auto"/>
                              <w:jc w:val="center"/>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33.82x</w:t>
                            </w:r>
                            <w:r w:rsidRPr="00A0595A">
                              <w:rPr>
                                <w:rFonts w:ascii="Arial" w:eastAsia="Times New Roman" w:hAnsi="Arial" w:cs="Arial"/>
                                <w:color w:val="000000"/>
                                <w:sz w:val="36"/>
                                <w:szCs w:val="56"/>
                              </w:rPr>
                              <w:t>​</w:t>
                            </w:r>
                          </w:p>
                        </w:tc>
                      </w:tr>
                      <w:tr w:rsidR="00A0595A" w:rsidRPr="00A0595A" w14:paraId="7A357C3B" w14:textId="77777777" w:rsidTr="00A0595A">
                        <w:trPr>
                          <w:trHeight w:val="494"/>
                        </w:trPr>
                        <w:tc>
                          <w:tcPr>
                            <w:tcW w:w="5302" w:type="dxa"/>
                            <w:tcBorders>
                              <w:top w:val="single" w:sz="6" w:space="0" w:color="FFFFFF"/>
                              <w:left w:val="single" w:sz="6" w:space="0" w:color="FFFFFF"/>
                              <w:bottom w:val="single" w:sz="6" w:space="0" w:color="FFFFFF"/>
                              <w:right w:val="single" w:sz="6" w:space="0" w:color="FFFFFF"/>
                            </w:tcBorders>
                            <w:shd w:val="clear" w:color="auto" w:fill="CEE7EE"/>
                            <w:hideMark/>
                          </w:tcPr>
                          <w:p w14:paraId="17D2449B"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Return on Equity</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CEE7EE"/>
                            <w:hideMark/>
                          </w:tcPr>
                          <w:p w14:paraId="789EABE6"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11.86%</w:t>
                            </w:r>
                            <w:r w:rsidRPr="00A0595A">
                              <w:rPr>
                                <w:rFonts w:ascii="Arial" w:eastAsia="Times New Roman" w:hAnsi="Arial" w:cs="Arial"/>
                                <w:color w:val="000000"/>
                                <w:sz w:val="36"/>
                                <w:szCs w:val="56"/>
                              </w:rPr>
                              <w:t>​</w:t>
                            </w:r>
                          </w:p>
                        </w:tc>
                      </w:tr>
                      <w:tr w:rsidR="00A0595A" w:rsidRPr="00A0595A" w14:paraId="4FA91F72" w14:textId="77777777" w:rsidTr="00A0595A">
                        <w:trPr>
                          <w:trHeight w:val="494"/>
                        </w:trPr>
                        <w:tc>
                          <w:tcPr>
                            <w:tcW w:w="5302" w:type="dxa"/>
                            <w:tcBorders>
                              <w:top w:val="single" w:sz="6" w:space="0" w:color="FFFFFF"/>
                              <w:left w:val="single" w:sz="6" w:space="0" w:color="FFFFFF"/>
                              <w:bottom w:val="single" w:sz="6" w:space="0" w:color="FFFFFF"/>
                              <w:right w:val="single" w:sz="6" w:space="0" w:color="FFFFFF"/>
                            </w:tcBorders>
                            <w:shd w:val="clear" w:color="auto" w:fill="E8F3F7"/>
                            <w:hideMark/>
                          </w:tcPr>
                          <w:p w14:paraId="70EBD001"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Gross Margin</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E8F3F7"/>
                            <w:hideMark/>
                          </w:tcPr>
                          <w:p w14:paraId="219797D9"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39.67%</w:t>
                            </w:r>
                            <w:r w:rsidRPr="00A0595A">
                              <w:rPr>
                                <w:rFonts w:ascii="Arial" w:eastAsia="Times New Roman" w:hAnsi="Arial" w:cs="Arial"/>
                                <w:color w:val="000000"/>
                                <w:sz w:val="36"/>
                                <w:szCs w:val="56"/>
                              </w:rPr>
                              <w:t>​</w:t>
                            </w:r>
                          </w:p>
                        </w:tc>
                      </w:tr>
                      <w:tr w:rsidR="00A0595A" w:rsidRPr="00A0595A" w14:paraId="2FF814FE" w14:textId="77777777" w:rsidTr="00A0595A">
                        <w:trPr>
                          <w:trHeight w:val="503"/>
                        </w:trPr>
                        <w:tc>
                          <w:tcPr>
                            <w:tcW w:w="5302" w:type="dxa"/>
                            <w:tcBorders>
                              <w:top w:val="single" w:sz="6" w:space="0" w:color="FFFFFF"/>
                              <w:left w:val="single" w:sz="6" w:space="0" w:color="FFFFFF"/>
                              <w:bottom w:val="single" w:sz="6" w:space="0" w:color="FFFFFF"/>
                              <w:right w:val="single" w:sz="6" w:space="0" w:color="FFFFFF"/>
                            </w:tcBorders>
                            <w:shd w:val="clear" w:color="auto" w:fill="CEE7EE"/>
                            <w:hideMark/>
                          </w:tcPr>
                          <w:p w14:paraId="26283A6C"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Revenue Growth Over Next 3 Years</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CEE7EE"/>
                            <w:hideMark/>
                          </w:tcPr>
                          <w:p w14:paraId="70560B30"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3%</w:t>
                            </w:r>
                            <w:r w:rsidRPr="00A0595A">
                              <w:rPr>
                                <w:rFonts w:ascii="Arial" w:eastAsia="Times New Roman" w:hAnsi="Arial" w:cs="Arial"/>
                                <w:color w:val="000000"/>
                                <w:sz w:val="36"/>
                                <w:szCs w:val="56"/>
                              </w:rPr>
                              <w:t>​</w:t>
                            </w:r>
                          </w:p>
                        </w:tc>
                      </w:tr>
                      <w:tr w:rsidR="00A0595A" w:rsidRPr="00A0595A" w14:paraId="0EBF87C4" w14:textId="77777777" w:rsidTr="00A0595A">
                        <w:trPr>
                          <w:trHeight w:val="485"/>
                        </w:trPr>
                        <w:tc>
                          <w:tcPr>
                            <w:tcW w:w="5302" w:type="dxa"/>
                            <w:tcBorders>
                              <w:top w:val="single" w:sz="6" w:space="0" w:color="FFFFFF"/>
                              <w:left w:val="single" w:sz="6" w:space="0" w:color="FFFFFF"/>
                              <w:bottom w:val="single" w:sz="6" w:space="0" w:color="FFFFFF"/>
                              <w:right w:val="single" w:sz="6" w:space="0" w:color="FFFFFF"/>
                            </w:tcBorders>
                            <w:shd w:val="clear" w:color="auto" w:fill="E8F3F7"/>
                            <w:hideMark/>
                          </w:tcPr>
                          <w:p w14:paraId="5B4A251F"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Asset Turnover</w:t>
                            </w:r>
                            <w:r w:rsidRPr="00A0595A">
                              <w:rPr>
                                <w:rFonts w:ascii="Arial" w:eastAsia="Times New Roman" w:hAnsi="Arial" w:cs="Arial"/>
                                <w:color w:val="000000"/>
                                <w:sz w:val="36"/>
                                <w:szCs w:val="56"/>
                              </w:rPr>
                              <w:t>​</w:t>
                            </w:r>
                          </w:p>
                        </w:tc>
                        <w:tc>
                          <w:tcPr>
                            <w:tcW w:w="5040" w:type="dxa"/>
                            <w:tcBorders>
                              <w:top w:val="single" w:sz="6" w:space="0" w:color="FFFFFF"/>
                              <w:left w:val="single" w:sz="6" w:space="0" w:color="FFFFFF"/>
                              <w:bottom w:val="single" w:sz="6" w:space="0" w:color="FFFFFF"/>
                              <w:right w:val="single" w:sz="6" w:space="0" w:color="FFFFFF"/>
                            </w:tcBorders>
                            <w:shd w:val="clear" w:color="auto" w:fill="E8F3F7"/>
                            <w:hideMark/>
                          </w:tcPr>
                          <w:p w14:paraId="467EEFBA" w14:textId="77777777" w:rsidR="00A0595A" w:rsidRPr="000E3FC7" w:rsidRDefault="00A0595A" w:rsidP="000E3FC7">
                            <w:pPr>
                              <w:spacing w:before="100" w:beforeAutospacing="1" w:after="100" w:afterAutospacing="1" w:line="240" w:lineRule="auto"/>
                              <w:textAlignment w:val="baseline"/>
                              <w:rPr>
                                <w:rFonts w:ascii="Times New Roman" w:eastAsia="Times New Roman" w:hAnsi="Times New Roman" w:cs="Times New Roman"/>
                                <w:color w:val="000000"/>
                                <w:sz w:val="14"/>
                                <w:szCs w:val="24"/>
                              </w:rPr>
                            </w:pPr>
                            <w:r w:rsidRPr="00A0595A">
                              <w:rPr>
                                <w:rFonts w:ascii="Corbel" w:eastAsia="Times New Roman" w:hAnsi="Corbel" w:cs="Times New Roman"/>
                                <w:color w:val="000000"/>
                                <w:position w:val="2"/>
                                <w:sz w:val="36"/>
                                <w:szCs w:val="56"/>
                              </w:rPr>
                              <w:t>1.09</w:t>
                            </w:r>
                            <w:r w:rsidRPr="00A0595A">
                              <w:rPr>
                                <w:rFonts w:ascii="Arial" w:eastAsia="Times New Roman" w:hAnsi="Arial" w:cs="Arial"/>
                                <w:color w:val="000000"/>
                                <w:sz w:val="36"/>
                                <w:szCs w:val="56"/>
                              </w:rPr>
                              <w:t>​</w:t>
                            </w:r>
                          </w:p>
                        </w:tc>
                      </w:tr>
                    </w:tbl>
                    <w:p w14:paraId="64C831D5" w14:textId="77777777" w:rsidR="00A0595A" w:rsidRPr="00A0595A" w:rsidRDefault="00A0595A" w:rsidP="00A0595A">
                      <w:pPr>
                        <w:rPr>
                          <w:sz w:val="12"/>
                        </w:rPr>
                      </w:pPr>
                    </w:p>
                  </w:txbxContent>
                </v:textbox>
                <w10:anchorlock/>
              </v:shape>
            </w:pict>
          </mc:Fallback>
        </mc:AlternateContent>
      </w:r>
    </w:p>
    <w:p w14:paraId="615EBCB5" w14:textId="589459CC" w:rsidR="00FF44BB" w:rsidRPr="00700724" w:rsidRDefault="00600E32" w:rsidP="00700724">
      <w:pPr>
        <w:spacing w:line="276" w:lineRule="auto"/>
        <w:ind w:firstLine="720"/>
        <w:rPr>
          <w:rFonts w:ascii="Calibri" w:eastAsia="Calibri" w:hAnsi="Calibri" w:cs="Calibri"/>
          <w:sz w:val="24"/>
          <w:szCs w:val="24"/>
        </w:rPr>
      </w:pPr>
      <w:r w:rsidRPr="00700724">
        <w:rPr>
          <w:rFonts w:ascii="Calibri" w:eastAsia="Calibri" w:hAnsi="Calibri" w:cs="Calibri"/>
          <w:sz w:val="24"/>
          <w:szCs w:val="24"/>
        </w:rPr>
        <w:t xml:space="preserve">Tennant has a good debt to equity ratio of 1.06. Debt-to-Equity measures </w:t>
      </w:r>
      <w:r w:rsidR="00D00350" w:rsidRPr="00700724">
        <w:rPr>
          <w:rFonts w:ascii="Calibri" w:eastAsia="Calibri" w:hAnsi="Calibri" w:cs="Calibri"/>
          <w:sz w:val="24"/>
          <w:szCs w:val="24"/>
        </w:rPr>
        <w:t>the relationship between how much a company owes creditors (debt) to how much they have received from investors. A high DE ratio can indicate</w:t>
      </w:r>
      <w:r w:rsidR="00750AEE" w:rsidRPr="00700724">
        <w:rPr>
          <w:rFonts w:ascii="Calibri" w:eastAsia="Calibri" w:hAnsi="Calibri" w:cs="Calibri"/>
          <w:sz w:val="24"/>
          <w:szCs w:val="24"/>
        </w:rPr>
        <w:t xml:space="preserve"> that a company may not be generating enough cash to pay off debt. A good DE ratio is between 1-1.5, so Tennant </w:t>
      </w:r>
      <w:r w:rsidR="00C23DDF" w:rsidRPr="00700724">
        <w:rPr>
          <w:rFonts w:ascii="Calibri" w:eastAsia="Calibri" w:hAnsi="Calibri" w:cs="Calibri"/>
          <w:sz w:val="24"/>
          <w:szCs w:val="24"/>
        </w:rPr>
        <w:t>is in a good place since they fall in the lower end of that range.</w:t>
      </w:r>
      <w:r w:rsidR="00786138" w:rsidRPr="00700724">
        <w:rPr>
          <w:rFonts w:ascii="Calibri" w:eastAsia="Calibri" w:hAnsi="Calibri" w:cs="Calibri"/>
          <w:sz w:val="24"/>
          <w:szCs w:val="24"/>
        </w:rPr>
        <w:t xml:space="preserve"> Their DE is </w:t>
      </w:r>
      <w:r w:rsidR="00F152C5" w:rsidRPr="00700724">
        <w:rPr>
          <w:rFonts w:ascii="Calibri" w:eastAsia="Calibri" w:hAnsi="Calibri" w:cs="Calibri"/>
          <w:sz w:val="24"/>
          <w:szCs w:val="24"/>
        </w:rPr>
        <w:t>more than 71% of their peers, which indicates they have been more aggressive when using debt to finance growth.</w:t>
      </w:r>
      <w:r w:rsidR="00700724">
        <w:rPr>
          <w:rFonts w:ascii="Calibri" w:eastAsia="Calibri" w:hAnsi="Calibri" w:cs="Calibri"/>
          <w:sz w:val="24"/>
          <w:szCs w:val="24"/>
        </w:rPr>
        <w:t xml:space="preserve"> </w:t>
      </w:r>
      <w:r w:rsidR="00732B25" w:rsidRPr="00700724">
        <w:rPr>
          <w:rFonts w:ascii="Calibri" w:eastAsia="Calibri" w:hAnsi="Calibri" w:cs="Calibri"/>
          <w:sz w:val="24"/>
          <w:szCs w:val="24"/>
        </w:rPr>
        <w:t>Tennant</w:t>
      </w:r>
      <w:r w:rsidR="006C4452" w:rsidRPr="00700724">
        <w:rPr>
          <w:rFonts w:ascii="Calibri" w:eastAsia="Calibri" w:hAnsi="Calibri" w:cs="Calibri"/>
          <w:sz w:val="24"/>
          <w:szCs w:val="24"/>
        </w:rPr>
        <w:t>’</w:t>
      </w:r>
      <w:r w:rsidR="00732B25" w:rsidRPr="00700724">
        <w:rPr>
          <w:rFonts w:ascii="Calibri" w:eastAsia="Calibri" w:hAnsi="Calibri" w:cs="Calibri"/>
          <w:sz w:val="24"/>
          <w:szCs w:val="24"/>
        </w:rPr>
        <w:t>s P</w:t>
      </w:r>
      <w:r w:rsidR="006C4452" w:rsidRPr="00700724">
        <w:rPr>
          <w:rFonts w:ascii="Calibri" w:eastAsia="Calibri" w:hAnsi="Calibri" w:cs="Calibri"/>
          <w:sz w:val="24"/>
          <w:szCs w:val="24"/>
        </w:rPr>
        <w:t>/E Ratio</w:t>
      </w:r>
      <w:r w:rsidR="004965C5" w:rsidRPr="00700724">
        <w:rPr>
          <w:rFonts w:ascii="Calibri" w:eastAsia="Calibri" w:hAnsi="Calibri" w:cs="Calibri"/>
          <w:sz w:val="24"/>
          <w:szCs w:val="24"/>
        </w:rPr>
        <w:t xml:space="preserve"> is a bit</w:t>
      </w:r>
      <w:r w:rsidR="006C4452" w:rsidRPr="00700724">
        <w:rPr>
          <w:rFonts w:ascii="Calibri" w:eastAsia="Calibri" w:hAnsi="Calibri" w:cs="Calibri"/>
          <w:sz w:val="24"/>
          <w:szCs w:val="24"/>
        </w:rPr>
        <w:t xml:space="preserve"> high, coming in at 33.82. The average </w:t>
      </w:r>
      <w:r w:rsidR="004965C5" w:rsidRPr="00700724">
        <w:rPr>
          <w:rFonts w:ascii="Calibri" w:eastAsia="Calibri" w:hAnsi="Calibri" w:cs="Calibri"/>
          <w:sz w:val="24"/>
          <w:szCs w:val="24"/>
        </w:rPr>
        <w:t xml:space="preserve">P/E </w:t>
      </w:r>
      <w:r w:rsidR="00B5557C" w:rsidRPr="00700724">
        <w:rPr>
          <w:rFonts w:ascii="Calibri" w:eastAsia="Calibri" w:hAnsi="Calibri" w:cs="Calibri"/>
          <w:sz w:val="24"/>
          <w:szCs w:val="24"/>
        </w:rPr>
        <w:t xml:space="preserve">ratio of the Russell 2000 is 25.6. </w:t>
      </w:r>
      <w:r w:rsidR="00A05D4A" w:rsidRPr="00700724">
        <w:rPr>
          <w:rFonts w:ascii="Calibri" w:eastAsia="Calibri" w:hAnsi="Calibri" w:cs="Calibri"/>
          <w:sz w:val="24"/>
          <w:szCs w:val="24"/>
        </w:rPr>
        <w:t>A high P/E could</w:t>
      </w:r>
      <w:r w:rsidR="007E33C7" w:rsidRPr="00700724">
        <w:rPr>
          <w:rFonts w:ascii="Calibri" w:eastAsia="Calibri" w:hAnsi="Calibri" w:cs="Calibri"/>
          <w:sz w:val="24"/>
          <w:szCs w:val="24"/>
        </w:rPr>
        <w:t xml:space="preserve"> indicate that the stock is overvalued.</w:t>
      </w:r>
      <w:r w:rsidR="00FF44BB" w:rsidRPr="00700724">
        <w:rPr>
          <w:rFonts w:ascii="Calibri" w:eastAsia="Calibri" w:hAnsi="Calibri" w:cs="Calibri"/>
          <w:sz w:val="24"/>
          <w:szCs w:val="24"/>
        </w:rPr>
        <w:t xml:space="preserve"> Conversely, it also shows that investors are </w:t>
      </w:r>
      <w:r w:rsidR="00FF44BB" w:rsidRPr="00700724">
        <w:rPr>
          <w:rFonts w:ascii="Calibri" w:eastAsia="Calibri" w:hAnsi="Calibri" w:cs="Calibri"/>
          <w:sz w:val="24"/>
          <w:szCs w:val="24"/>
        </w:rPr>
        <w:lastRenderedPageBreak/>
        <w:t>willing to pay a higher share price due to potential growth in the future. So whichever way you look at this determines how you react to a higher P/E.</w:t>
      </w:r>
      <w:r w:rsidR="00700724">
        <w:rPr>
          <w:rFonts w:ascii="Calibri" w:eastAsia="Calibri" w:hAnsi="Calibri" w:cs="Calibri"/>
          <w:sz w:val="24"/>
          <w:szCs w:val="24"/>
        </w:rPr>
        <w:t xml:space="preserve"> </w:t>
      </w:r>
      <w:r w:rsidR="003634DA" w:rsidRPr="00700724">
        <w:rPr>
          <w:rFonts w:ascii="Calibri" w:eastAsia="Calibri" w:hAnsi="Calibri" w:cs="Calibri"/>
          <w:sz w:val="24"/>
          <w:szCs w:val="24"/>
        </w:rPr>
        <w:t>The ROE measures how effectively a company can use its assets to create a profit. The ROE is calculated by taking the earnings of the company and dividing it by the total common equity. The higher the ROE the more effective the company is using its assets to create profit, and a lower ROE the company is using its assets less effectively to generate profit.</w:t>
      </w:r>
      <w:r w:rsidR="006E19B8" w:rsidRPr="00700724">
        <w:rPr>
          <w:rFonts w:ascii="Calibri" w:eastAsia="Calibri" w:hAnsi="Calibri" w:cs="Calibri"/>
          <w:sz w:val="24"/>
          <w:szCs w:val="24"/>
        </w:rPr>
        <w:t xml:space="preserve"> </w:t>
      </w:r>
      <w:r w:rsidR="00233E71" w:rsidRPr="00700724">
        <w:rPr>
          <w:rFonts w:ascii="Calibri" w:eastAsia="Calibri" w:hAnsi="Calibri" w:cs="Calibri"/>
          <w:sz w:val="24"/>
          <w:szCs w:val="24"/>
        </w:rPr>
        <w:t>Tennant’</w:t>
      </w:r>
      <w:r w:rsidR="00D73005" w:rsidRPr="00700724">
        <w:rPr>
          <w:rFonts w:ascii="Calibri" w:eastAsia="Calibri" w:hAnsi="Calibri" w:cs="Calibri"/>
          <w:sz w:val="24"/>
          <w:szCs w:val="24"/>
        </w:rPr>
        <w:t xml:space="preserve">s ROE, at 11.86%, is quite low compared to the industry average of </w:t>
      </w:r>
      <w:r w:rsidR="008060B4" w:rsidRPr="00700724">
        <w:rPr>
          <w:rFonts w:ascii="Calibri" w:eastAsia="Calibri" w:hAnsi="Calibri" w:cs="Calibri"/>
          <w:sz w:val="24"/>
          <w:szCs w:val="24"/>
        </w:rPr>
        <w:t>15.3%.</w:t>
      </w:r>
      <w:r w:rsidR="005E2FE4" w:rsidRPr="00700724">
        <w:rPr>
          <w:rFonts w:ascii="Calibri" w:eastAsia="Calibri" w:hAnsi="Calibri" w:cs="Calibri"/>
          <w:sz w:val="24"/>
          <w:szCs w:val="24"/>
        </w:rPr>
        <w:t xml:space="preserve"> </w:t>
      </w:r>
      <w:r w:rsidR="00786138" w:rsidRPr="00700724">
        <w:rPr>
          <w:rFonts w:ascii="Calibri" w:eastAsia="Calibri" w:hAnsi="Calibri" w:cs="Calibri"/>
          <w:sz w:val="24"/>
          <w:szCs w:val="24"/>
        </w:rPr>
        <w:t>Tennant’s</w:t>
      </w:r>
      <w:r w:rsidR="008060B4" w:rsidRPr="00700724">
        <w:rPr>
          <w:rFonts w:ascii="Calibri" w:eastAsia="Calibri" w:hAnsi="Calibri" w:cs="Calibri"/>
          <w:sz w:val="24"/>
          <w:szCs w:val="24"/>
        </w:rPr>
        <w:t xml:space="preserve"> gross margin is better than 74%</w:t>
      </w:r>
      <w:r w:rsidR="00786138" w:rsidRPr="00700724">
        <w:rPr>
          <w:rFonts w:ascii="Calibri" w:eastAsia="Calibri" w:hAnsi="Calibri" w:cs="Calibri"/>
          <w:sz w:val="24"/>
          <w:szCs w:val="24"/>
        </w:rPr>
        <w:t xml:space="preserve"> of other companies in the Industrial Machinery and Equipment Industry.</w:t>
      </w:r>
      <w:r w:rsidR="00F152C5" w:rsidRPr="00700724">
        <w:rPr>
          <w:rFonts w:ascii="Calibri" w:eastAsia="Calibri" w:hAnsi="Calibri" w:cs="Calibri"/>
          <w:sz w:val="24"/>
          <w:szCs w:val="24"/>
        </w:rPr>
        <w:t xml:space="preserve"> </w:t>
      </w:r>
      <w:r w:rsidR="00460DFB" w:rsidRPr="00700724">
        <w:rPr>
          <w:rFonts w:ascii="Calibri" w:eastAsia="Calibri" w:hAnsi="Calibri" w:cs="Calibri"/>
          <w:sz w:val="24"/>
          <w:szCs w:val="24"/>
        </w:rPr>
        <w:t>Along with that, t</w:t>
      </w:r>
      <w:r w:rsidR="00FC48CD" w:rsidRPr="00700724">
        <w:rPr>
          <w:rFonts w:ascii="Calibri" w:eastAsia="Calibri" w:hAnsi="Calibri" w:cs="Calibri"/>
          <w:sz w:val="24"/>
          <w:szCs w:val="24"/>
        </w:rPr>
        <w:t xml:space="preserve">heir operating margin shows they manage their expenses 63% better than their peers. </w:t>
      </w:r>
      <w:r w:rsidR="00460DFB" w:rsidRPr="00700724">
        <w:rPr>
          <w:rFonts w:ascii="Calibri" w:eastAsia="Calibri" w:hAnsi="Calibri" w:cs="Calibri"/>
          <w:sz w:val="24"/>
          <w:szCs w:val="24"/>
        </w:rPr>
        <w:t>Finally, their E</w:t>
      </w:r>
      <w:r w:rsidR="0053272A" w:rsidRPr="00700724">
        <w:rPr>
          <w:rFonts w:ascii="Calibri" w:eastAsia="Calibri" w:hAnsi="Calibri" w:cs="Calibri"/>
          <w:sz w:val="24"/>
          <w:szCs w:val="24"/>
        </w:rPr>
        <w:t>PS growth rate is greater than 93% of their peers.</w:t>
      </w:r>
    </w:p>
    <w:p w14:paraId="4E7AC3C9" w14:textId="77777777" w:rsidR="00700724" w:rsidRDefault="00700724" w:rsidP="00700724">
      <w:pPr>
        <w:spacing w:line="276" w:lineRule="auto"/>
        <w:rPr>
          <w:rFonts w:ascii="Calibri" w:eastAsia="Calibri" w:hAnsi="Calibri" w:cs="Calibri"/>
          <w:sz w:val="32"/>
          <w:szCs w:val="32"/>
        </w:rPr>
      </w:pPr>
      <w:r>
        <w:rPr>
          <w:rFonts w:ascii="Calibri" w:eastAsia="Calibri" w:hAnsi="Calibri" w:cs="Calibri"/>
          <w:b/>
          <w:sz w:val="32"/>
          <w:szCs w:val="32"/>
          <w:u w:val="single"/>
        </w:rPr>
        <w:t>Dividends</w:t>
      </w:r>
    </w:p>
    <w:p w14:paraId="48A73C8F" w14:textId="0C28F8EB" w:rsidR="00640132" w:rsidRPr="00700724" w:rsidRDefault="3AFBC84D" w:rsidP="3AFBC84D">
      <w:pPr>
        <w:spacing w:line="276" w:lineRule="auto"/>
        <w:rPr>
          <w:rFonts w:ascii="Calibri" w:eastAsia="Calibri" w:hAnsi="Calibri" w:cs="Calibri"/>
          <w:sz w:val="24"/>
          <w:szCs w:val="24"/>
        </w:rPr>
      </w:pPr>
      <w:r w:rsidRPr="3AFBC84D">
        <w:rPr>
          <w:rFonts w:ascii="Calibri" w:eastAsia="Calibri" w:hAnsi="Calibri" w:cs="Calibri"/>
          <w:sz w:val="24"/>
          <w:szCs w:val="24"/>
        </w:rPr>
        <w:t xml:space="preserve">Looking at </w:t>
      </w:r>
      <w:r w:rsidR="00D70E1D">
        <w:rPr>
          <w:rFonts w:ascii="Calibri" w:eastAsia="Calibri" w:hAnsi="Calibri" w:cs="Calibri"/>
          <w:sz w:val="24"/>
          <w:szCs w:val="24"/>
        </w:rPr>
        <w:t>Tennant’s</w:t>
      </w:r>
      <w:r w:rsidRPr="3AFBC84D">
        <w:rPr>
          <w:rFonts w:ascii="Calibri" w:eastAsia="Calibri" w:hAnsi="Calibri" w:cs="Calibri"/>
          <w:sz w:val="24"/>
          <w:szCs w:val="24"/>
        </w:rPr>
        <w:t xml:space="preserve"> dividends, we see that they have continued to increase their annual dividend payments every year. While the annual data is shown, they pay their dividends quarterly. Currently, the</w:t>
      </w:r>
      <w:r w:rsidR="007A5FE0">
        <w:rPr>
          <w:rFonts w:ascii="Calibri" w:eastAsia="Calibri" w:hAnsi="Calibri" w:cs="Calibri"/>
          <w:sz w:val="24"/>
          <w:szCs w:val="24"/>
        </w:rPr>
        <w:t xml:space="preserve"> annual</w:t>
      </w:r>
      <w:r w:rsidRPr="3AFBC84D">
        <w:rPr>
          <w:rFonts w:ascii="Calibri" w:eastAsia="Calibri" w:hAnsi="Calibri" w:cs="Calibri"/>
          <w:sz w:val="24"/>
          <w:szCs w:val="24"/>
        </w:rPr>
        <w:t xml:space="preserve"> dividend is</w:t>
      </w:r>
      <w:r w:rsidR="00D70E1D">
        <w:rPr>
          <w:rFonts w:ascii="Calibri" w:eastAsia="Calibri" w:hAnsi="Calibri" w:cs="Calibri"/>
          <w:sz w:val="24"/>
          <w:szCs w:val="24"/>
        </w:rPr>
        <w:t xml:space="preserve"> </w:t>
      </w:r>
      <w:r w:rsidRPr="3AFBC84D">
        <w:rPr>
          <w:rFonts w:ascii="Calibri" w:eastAsia="Calibri" w:hAnsi="Calibri" w:cs="Calibri"/>
          <w:sz w:val="24"/>
          <w:szCs w:val="24"/>
        </w:rPr>
        <w:t>$0.</w:t>
      </w:r>
      <w:r w:rsidR="00D70E1D">
        <w:rPr>
          <w:rFonts w:ascii="Calibri" w:eastAsia="Calibri" w:hAnsi="Calibri" w:cs="Calibri"/>
          <w:sz w:val="24"/>
          <w:szCs w:val="24"/>
        </w:rPr>
        <w:t>88</w:t>
      </w:r>
      <w:r w:rsidRPr="3AFBC84D">
        <w:rPr>
          <w:rFonts w:ascii="Calibri" w:eastAsia="Calibri" w:hAnsi="Calibri" w:cs="Calibri"/>
          <w:sz w:val="24"/>
          <w:szCs w:val="24"/>
        </w:rPr>
        <w:t>/share</w:t>
      </w:r>
      <w:r w:rsidR="00D70E1D">
        <w:rPr>
          <w:rFonts w:ascii="Calibri" w:eastAsia="Calibri" w:hAnsi="Calibri" w:cs="Calibri"/>
          <w:sz w:val="24"/>
          <w:szCs w:val="24"/>
        </w:rPr>
        <w:t xml:space="preserve"> </w:t>
      </w:r>
      <w:r w:rsidR="007A5FE0">
        <w:rPr>
          <w:rFonts w:ascii="Calibri" w:eastAsia="Calibri" w:hAnsi="Calibri" w:cs="Calibri"/>
          <w:sz w:val="24"/>
          <w:szCs w:val="24"/>
        </w:rPr>
        <w:t xml:space="preserve">and is </w:t>
      </w:r>
      <w:r w:rsidR="00D70E1D">
        <w:rPr>
          <w:rFonts w:ascii="Calibri" w:eastAsia="Calibri" w:hAnsi="Calibri" w:cs="Calibri"/>
          <w:sz w:val="24"/>
          <w:szCs w:val="24"/>
        </w:rPr>
        <w:t>paid quarterly</w:t>
      </w:r>
      <w:r w:rsidRPr="3AFBC84D">
        <w:rPr>
          <w:rFonts w:ascii="Calibri" w:eastAsia="Calibri" w:hAnsi="Calibri" w:cs="Calibri"/>
          <w:sz w:val="24"/>
          <w:szCs w:val="24"/>
        </w:rPr>
        <w:t>. The dividend yield is at 1.12%, with a projected growth of 3.38% in the next five years.</w:t>
      </w:r>
    </w:p>
    <w:p w14:paraId="4C4FBCA0" w14:textId="449996EE" w:rsidR="00C23DDF" w:rsidRDefault="00640132" w:rsidP="006A3567">
      <w:pPr>
        <w:spacing w:line="480" w:lineRule="auto"/>
        <w:rPr>
          <w:rFonts w:ascii="Calibri" w:eastAsia="Calibri" w:hAnsi="Calibri" w:cs="Calibri"/>
        </w:rPr>
      </w:pPr>
      <w:r>
        <w:rPr>
          <w:noProof/>
        </w:rPr>
        <w:drawing>
          <wp:inline distT="0" distB="0" distL="0" distR="0" wp14:anchorId="533FFC4E" wp14:editId="76FBE54B">
            <wp:extent cx="3957851" cy="1903862"/>
            <wp:effectExtent l="0" t="0" r="5080" b="1270"/>
            <wp:docPr id="1" name="Chart 1">
              <a:extLst xmlns:a="http://schemas.openxmlformats.org/drawingml/2006/main">
                <a:ext uri="{FF2B5EF4-FFF2-40B4-BE49-F238E27FC236}">
                  <a16:creationId xmlns:a16="http://schemas.microsoft.com/office/drawing/2014/main" id="{2FA9D739-A6C6-4228-B797-B170373AF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0A5F04C" w14:textId="77777777" w:rsidR="00700724" w:rsidRDefault="006A3567" w:rsidP="00700724">
      <w:pPr>
        <w:spacing w:line="276" w:lineRule="auto"/>
        <w:rPr>
          <w:rFonts w:ascii="Calibri" w:eastAsia="Calibri" w:hAnsi="Calibri" w:cs="Calibri"/>
          <w:b/>
          <w:sz w:val="32"/>
          <w:szCs w:val="32"/>
          <w:u w:val="single"/>
        </w:rPr>
      </w:pPr>
      <w:r w:rsidRPr="00700724">
        <w:rPr>
          <w:rFonts w:ascii="Calibri" w:eastAsia="Calibri" w:hAnsi="Calibri" w:cs="Calibri"/>
          <w:b/>
          <w:sz w:val="32"/>
          <w:szCs w:val="32"/>
          <w:u w:val="single"/>
        </w:rPr>
        <w:t xml:space="preserve">Revenue Forecasts </w:t>
      </w:r>
    </w:p>
    <w:p w14:paraId="4DFD28A9" w14:textId="1D37F192" w:rsidR="006A3567" w:rsidRPr="00700724" w:rsidRDefault="006A3567" w:rsidP="00700724">
      <w:pPr>
        <w:spacing w:line="276" w:lineRule="auto"/>
        <w:rPr>
          <w:sz w:val="24"/>
          <w:szCs w:val="24"/>
        </w:rPr>
      </w:pPr>
      <w:r w:rsidRPr="00700724">
        <w:rPr>
          <w:sz w:val="24"/>
          <w:szCs w:val="24"/>
        </w:rPr>
        <w:t>Ten</w:t>
      </w:r>
      <w:r w:rsidR="000A6FF2" w:rsidRPr="00700724">
        <w:rPr>
          <w:sz w:val="24"/>
          <w:szCs w:val="24"/>
        </w:rPr>
        <w:t>n</w:t>
      </w:r>
      <w:r w:rsidR="00D3113E" w:rsidRPr="00700724">
        <w:rPr>
          <w:sz w:val="24"/>
          <w:szCs w:val="24"/>
        </w:rPr>
        <w:t>ant is</w:t>
      </w:r>
      <w:r w:rsidRPr="00700724">
        <w:rPr>
          <w:sz w:val="24"/>
          <w:szCs w:val="24"/>
        </w:rPr>
        <w:t xml:space="preserve"> expected to continue to grow at </w:t>
      </w:r>
      <w:r w:rsidR="00AC69CD" w:rsidRPr="00700724">
        <w:rPr>
          <w:sz w:val="24"/>
          <w:szCs w:val="24"/>
        </w:rPr>
        <w:t xml:space="preserve">an average rate of 3% over the next </w:t>
      </w:r>
      <w:r w:rsidR="00F7539D" w:rsidRPr="00700724">
        <w:rPr>
          <w:sz w:val="24"/>
          <w:szCs w:val="24"/>
        </w:rPr>
        <w:t xml:space="preserve">3 years. Despite the recent acquisitions Tennant has had continued growth in revenue for all 4 quarters. </w:t>
      </w:r>
      <w:r w:rsidR="00BA00F0" w:rsidRPr="00700724">
        <w:rPr>
          <w:sz w:val="24"/>
          <w:szCs w:val="24"/>
        </w:rPr>
        <w:t>Revenue forecasts into 2021 show a predict</w:t>
      </w:r>
      <w:r w:rsidR="00D70E1D">
        <w:rPr>
          <w:sz w:val="24"/>
          <w:szCs w:val="24"/>
        </w:rPr>
        <w:t>ed</w:t>
      </w:r>
      <w:r w:rsidR="00BA00F0" w:rsidRPr="00700724">
        <w:rPr>
          <w:sz w:val="24"/>
          <w:szCs w:val="24"/>
        </w:rPr>
        <w:t xml:space="preserve"> annual revenue </w:t>
      </w:r>
      <w:r w:rsidR="007A5FE0">
        <w:rPr>
          <w:sz w:val="24"/>
          <w:szCs w:val="24"/>
        </w:rPr>
        <w:t>of</w:t>
      </w:r>
      <w:r w:rsidR="00444EE3" w:rsidRPr="00700724">
        <w:rPr>
          <w:sz w:val="24"/>
          <w:szCs w:val="24"/>
        </w:rPr>
        <w:t xml:space="preserve"> about $1.25 billion dollars.</w:t>
      </w:r>
    </w:p>
    <w:p w14:paraId="4AE09E05" w14:textId="261AFF35" w:rsidR="00700724" w:rsidRDefault="00700724" w:rsidP="00700724">
      <w:pPr>
        <w:spacing w:line="276" w:lineRule="auto"/>
      </w:pPr>
    </w:p>
    <w:p w14:paraId="74BD627A" w14:textId="7A47B96F" w:rsidR="00700724" w:rsidRDefault="00700724" w:rsidP="00700724">
      <w:pPr>
        <w:spacing w:line="276" w:lineRule="auto"/>
        <w:rPr>
          <w:rFonts w:ascii="Calibri" w:eastAsia="Calibri" w:hAnsi="Calibri" w:cs="Calibri"/>
          <w:b/>
          <w:sz w:val="32"/>
          <w:szCs w:val="32"/>
          <w:u w:val="single"/>
        </w:rPr>
      </w:pPr>
    </w:p>
    <w:p w14:paraId="2CA1DA13" w14:textId="5837E364" w:rsidR="00D70E1D" w:rsidRDefault="00D70E1D" w:rsidP="00700724">
      <w:pPr>
        <w:spacing w:line="276" w:lineRule="auto"/>
        <w:rPr>
          <w:rFonts w:ascii="Calibri" w:eastAsia="Calibri" w:hAnsi="Calibri" w:cs="Calibri"/>
          <w:b/>
          <w:sz w:val="32"/>
          <w:szCs w:val="32"/>
          <w:u w:val="single"/>
        </w:rPr>
      </w:pPr>
    </w:p>
    <w:p w14:paraId="731B6105" w14:textId="77777777" w:rsidR="00D70E1D" w:rsidRPr="00700724" w:rsidRDefault="00D70E1D" w:rsidP="00700724">
      <w:pPr>
        <w:spacing w:line="276" w:lineRule="auto"/>
        <w:rPr>
          <w:rFonts w:ascii="Calibri" w:eastAsia="Calibri" w:hAnsi="Calibri" w:cs="Calibri"/>
          <w:b/>
          <w:sz w:val="32"/>
          <w:szCs w:val="32"/>
          <w:u w:val="single"/>
        </w:rPr>
      </w:pPr>
    </w:p>
    <w:p w14:paraId="654900A9" w14:textId="77777777" w:rsidR="00700724" w:rsidRDefault="00444EE3" w:rsidP="00700724">
      <w:pPr>
        <w:spacing w:line="276" w:lineRule="auto"/>
        <w:rPr>
          <w:b/>
          <w:sz w:val="32"/>
          <w:szCs w:val="32"/>
          <w:u w:val="single"/>
        </w:rPr>
      </w:pPr>
      <w:r w:rsidRPr="00700724">
        <w:rPr>
          <w:b/>
          <w:sz w:val="32"/>
          <w:szCs w:val="32"/>
          <w:u w:val="single"/>
        </w:rPr>
        <w:lastRenderedPageBreak/>
        <w:t>SWOT Analysis of Tennant</w:t>
      </w:r>
    </w:p>
    <w:p w14:paraId="5DBC90BE" w14:textId="230F1BC4" w:rsidR="00444EE3" w:rsidRPr="00700724" w:rsidRDefault="3AFBC84D" w:rsidP="3AFBC84D">
      <w:pPr>
        <w:spacing w:line="276" w:lineRule="auto"/>
        <w:rPr>
          <w:sz w:val="24"/>
          <w:szCs w:val="24"/>
        </w:rPr>
      </w:pPr>
      <w:r w:rsidRPr="3AFBC84D">
        <w:rPr>
          <w:sz w:val="24"/>
          <w:szCs w:val="24"/>
        </w:rPr>
        <w:t>Tennant is a company that is experiencing changes in its corporate culture. The type of market Tennant is in is the type of market used for consistency. Another key trait that Tennant is focused on is sustainability for the environment. This includes the</w:t>
      </w:r>
      <w:r w:rsidR="00D70E1D">
        <w:rPr>
          <w:sz w:val="24"/>
          <w:szCs w:val="24"/>
        </w:rPr>
        <w:t>ir</w:t>
      </w:r>
      <w:r w:rsidRPr="3AFBC84D">
        <w:rPr>
          <w:sz w:val="24"/>
          <w:szCs w:val="24"/>
        </w:rPr>
        <w:t xml:space="preserve"> micro h2o cleaner. This cleaner doesn’t require any sort of detergent. Also, Tennant is expecting to generate further revenue with its recent acquisitions of IPC and </w:t>
      </w:r>
      <w:proofErr w:type="spellStart"/>
      <w:r w:rsidRPr="3AFBC84D">
        <w:rPr>
          <w:sz w:val="24"/>
          <w:szCs w:val="24"/>
        </w:rPr>
        <w:t>Gaomei</w:t>
      </w:r>
      <w:proofErr w:type="spellEnd"/>
      <w:r w:rsidRPr="3AFBC84D">
        <w:rPr>
          <w:sz w:val="24"/>
          <w:szCs w:val="24"/>
        </w:rPr>
        <w:t>. This gives the company access to the European and Asia markets</w:t>
      </w:r>
      <w:r w:rsidR="00D70E1D">
        <w:rPr>
          <w:sz w:val="24"/>
          <w:szCs w:val="24"/>
        </w:rPr>
        <w:t xml:space="preserve"> which</w:t>
      </w:r>
      <w:r w:rsidRPr="3AFBC84D">
        <w:rPr>
          <w:sz w:val="24"/>
          <w:szCs w:val="24"/>
        </w:rPr>
        <w:t xml:space="preserve"> allows them to have a way of </w:t>
      </w:r>
      <w:r w:rsidR="00D70E1D">
        <w:rPr>
          <w:sz w:val="24"/>
          <w:szCs w:val="24"/>
        </w:rPr>
        <w:t>selling</w:t>
      </w:r>
      <w:r w:rsidRPr="3AFBC84D">
        <w:rPr>
          <w:sz w:val="24"/>
          <w:szCs w:val="24"/>
        </w:rPr>
        <w:t xml:space="preserve"> their products in markets that previously may not have been available. One risk of this is that Tennant could potentially be mismatching the types of products for the types of customers in other countries. One weakness would be the </w:t>
      </w:r>
      <w:r w:rsidR="00D70E1D">
        <w:rPr>
          <w:sz w:val="24"/>
          <w:szCs w:val="24"/>
        </w:rPr>
        <w:t xml:space="preserve">high </w:t>
      </w:r>
      <w:r w:rsidRPr="3AFBC84D">
        <w:rPr>
          <w:sz w:val="24"/>
          <w:szCs w:val="24"/>
        </w:rPr>
        <w:t xml:space="preserve">price of the machines with the robotic </w:t>
      </w:r>
      <w:r w:rsidR="00D70E1D">
        <w:rPr>
          <w:sz w:val="24"/>
          <w:szCs w:val="24"/>
        </w:rPr>
        <w:t>model</w:t>
      </w:r>
      <w:r w:rsidRPr="3AFBC84D">
        <w:rPr>
          <w:sz w:val="24"/>
          <w:szCs w:val="24"/>
        </w:rPr>
        <w:t xml:space="preserve"> being priced at about $50K. This can also be circumvented due to the ability to rent their cleaners if a customer is unsure</w:t>
      </w:r>
      <w:r w:rsidR="00D70E1D">
        <w:rPr>
          <w:sz w:val="24"/>
          <w:szCs w:val="24"/>
        </w:rPr>
        <w:t xml:space="preserve"> about long term use</w:t>
      </w:r>
      <w:r w:rsidRPr="3AFBC84D">
        <w:rPr>
          <w:sz w:val="24"/>
          <w:szCs w:val="24"/>
        </w:rPr>
        <w:t>.</w:t>
      </w:r>
    </w:p>
    <w:p w14:paraId="6F91AE69" w14:textId="37FD3337" w:rsidR="00A04137" w:rsidRDefault="00A04137" w:rsidP="00A04137">
      <w:pPr>
        <w:spacing w:line="276" w:lineRule="auto"/>
        <w:rPr>
          <w:rFonts w:ascii="Calibri" w:eastAsia="Calibri" w:hAnsi="Calibri" w:cs="Calibri"/>
          <w:b/>
          <w:sz w:val="32"/>
          <w:szCs w:val="32"/>
          <w:u w:val="single"/>
        </w:rPr>
      </w:pPr>
      <w:r>
        <w:rPr>
          <w:rFonts w:ascii="Calibri" w:eastAsia="Calibri" w:hAnsi="Calibri" w:cs="Calibri"/>
          <w:b/>
          <w:sz w:val="32"/>
          <w:szCs w:val="32"/>
          <w:u w:val="single"/>
        </w:rPr>
        <w:t>Recommendation</w:t>
      </w:r>
    </w:p>
    <w:p w14:paraId="5335E412" w14:textId="53BD5D75" w:rsidR="0EFB4FBA" w:rsidRPr="00A04137" w:rsidRDefault="0ECB6F8D" w:rsidP="00A04137">
      <w:pPr>
        <w:spacing w:line="276" w:lineRule="auto"/>
        <w:rPr>
          <w:rFonts w:ascii="Calibri" w:eastAsia="Calibri" w:hAnsi="Calibri" w:cs="Calibri"/>
          <w:b/>
          <w:sz w:val="24"/>
          <w:szCs w:val="24"/>
          <w:u w:val="single"/>
        </w:rPr>
      </w:pPr>
      <w:r w:rsidRPr="00A04137">
        <w:rPr>
          <w:rFonts w:ascii="Calibri" w:eastAsia="Calibri" w:hAnsi="Calibri" w:cs="Calibri"/>
          <w:sz w:val="24"/>
          <w:szCs w:val="24"/>
        </w:rPr>
        <w:t>Our final valuation of Tennant is t</w:t>
      </w:r>
      <w:r w:rsidR="00A04137">
        <w:rPr>
          <w:rFonts w:ascii="Calibri" w:eastAsia="Calibri" w:hAnsi="Calibri" w:cs="Calibri"/>
          <w:sz w:val="24"/>
          <w:szCs w:val="24"/>
        </w:rPr>
        <w:t>hat they should be valued at $82</w:t>
      </w:r>
      <w:r w:rsidRPr="00A04137">
        <w:rPr>
          <w:rFonts w:ascii="Calibri" w:eastAsia="Calibri" w:hAnsi="Calibri" w:cs="Calibri"/>
          <w:sz w:val="24"/>
          <w:szCs w:val="24"/>
        </w:rPr>
        <w:t xml:space="preserve">. Their stock price has been </w:t>
      </w:r>
      <w:r w:rsidR="00D70E1D">
        <w:rPr>
          <w:rFonts w:ascii="Calibri" w:eastAsia="Calibri" w:hAnsi="Calibri" w:cs="Calibri"/>
          <w:sz w:val="24"/>
          <w:szCs w:val="24"/>
        </w:rPr>
        <w:t>slightly</w:t>
      </w:r>
      <w:r w:rsidRPr="00A04137">
        <w:rPr>
          <w:rFonts w:ascii="Calibri" w:eastAsia="Calibri" w:hAnsi="Calibri" w:cs="Calibri"/>
          <w:sz w:val="24"/>
          <w:szCs w:val="24"/>
        </w:rPr>
        <w:t xml:space="preserve"> below this recently, so we have a weak buy recommendation. Tennant has a good business model and they know to stick to their strengths. This serves them well a</w:t>
      </w:r>
      <w:r w:rsidR="00D70E1D">
        <w:rPr>
          <w:rFonts w:ascii="Calibri" w:eastAsia="Calibri" w:hAnsi="Calibri" w:cs="Calibri"/>
          <w:sz w:val="24"/>
          <w:szCs w:val="24"/>
        </w:rPr>
        <w:t>nd</w:t>
      </w:r>
      <w:r w:rsidRPr="00A04137">
        <w:rPr>
          <w:rFonts w:ascii="Calibri" w:eastAsia="Calibri" w:hAnsi="Calibri" w:cs="Calibri"/>
          <w:sz w:val="24"/>
          <w:szCs w:val="24"/>
        </w:rPr>
        <w:t xml:space="preserve"> they are well-established for a small-cap stock. Our prediction is that Tennant will have steady growth that matches the economy. The market has Tennant</w:t>
      </w:r>
      <w:r w:rsidR="00D70E1D">
        <w:rPr>
          <w:rFonts w:ascii="Calibri" w:eastAsia="Calibri" w:hAnsi="Calibri" w:cs="Calibri"/>
          <w:sz w:val="24"/>
          <w:szCs w:val="24"/>
        </w:rPr>
        <w:t>’</w:t>
      </w:r>
      <w:r w:rsidRPr="00A04137">
        <w:rPr>
          <w:rFonts w:ascii="Calibri" w:eastAsia="Calibri" w:hAnsi="Calibri" w:cs="Calibri"/>
          <w:sz w:val="24"/>
          <w:szCs w:val="24"/>
        </w:rPr>
        <w:t xml:space="preserve">s stock currently valued well, but this could be a good addition for diversification purposes and </w:t>
      </w:r>
      <w:r w:rsidR="00A04137">
        <w:rPr>
          <w:rFonts w:ascii="Calibri" w:eastAsia="Calibri" w:hAnsi="Calibri" w:cs="Calibri"/>
          <w:sz w:val="24"/>
          <w:szCs w:val="24"/>
        </w:rPr>
        <w:t xml:space="preserve">the potential of </w:t>
      </w:r>
      <w:r w:rsidRPr="00A04137">
        <w:rPr>
          <w:rFonts w:ascii="Calibri" w:eastAsia="Calibri" w:hAnsi="Calibri" w:cs="Calibri"/>
          <w:sz w:val="24"/>
          <w:szCs w:val="24"/>
        </w:rPr>
        <w:t xml:space="preserve">IPC and </w:t>
      </w:r>
      <w:proofErr w:type="spellStart"/>
      <w:r w:rsidRPr="00A04137">
        <w:rPr>
          <w:rFonts w:ascii="Calibri" w:eastAsia="Calibri" w:hAnsi="Calibri" w:cs="Calibri"/>
          <w:sz w:val="24"/>
          <w:szCs w:val="24"/>
        </w:rPr>
        <w:t>Gaomei</w:t>
      </w:r>
      <w:proofErr w:type="spellEnd"/>
      <w:r w:rsidRPr="00A04137">
        <w:rPr>
          <w:rFonts w:ascii="Calibri" w:eastAsia="Calibri" w:hAnsi="Calibri" w:cs="Calibri"/>
          <w:sz w:val="24"/>
          <w:szCs w:val="24"/>
        </w:rPr>
        <w:t xml:space="preserve"> acquisitions </w:t>
      </w:r>
      <w:r w:rsidR="00A04137">
        <w:rPr>
          <w:rFonts w:ascii="Calibri" w:eastAsia="Calibri" w:hAnsi="Calibri" w:cs="Calibri"/>
          <w:sz w:val="24"/>
          <w:szCs w:val="24"/>
        </w:rPr>
        <w:t xml:space="preserve">to </w:t>
      </w:r>
      <w:r w:rsidRPr="00A04137">
        <w:rPr>
          <w:rFonts w:ascii="Calibri" w:eastAsia="Calibri" w:hAnsi="Calibri" w:cs="Calibri"/>
          <w:sz w:val="24"/>
          <w:szCs w:val="24"/>
        </w:rPr>
        <w:t>grow immensely</w:t>
      </w:r>
      <w:r w:rsidR="00A04137">
        <w:rPr>
          <w:rFonts w:ascii="Calibri" w:eastAsia="Calibri" w:hAnsi="Calibri" w:cs="Calibri"/>
          <w:sz w:val="24"/>
          <w:szCs w:val="24"/>
        </w:rPr>
        <w:t xml:space="preserve"> in the future</w:t>
      </w:r>
      <w:r w:rsidRPr="00A04137">
        <w:rPr>
          <w:rFonts w:ascii="Calibri" w:eastAsia="Calibri" w:hAnsi="Calibri" w:cs="Calibri"/>
          <w:sz w:val="24"/>
          <w:szCs w:val="24"/>
        </w:rPr>
        <w:t>.</w:t>
      </w:r>
    </w:p>
    <w:p w14:paraId="109C9C1F" w14:textId="63DA96AC" w:rsidR="0ECB6F8D" w:rsidRDefault="0ECB6F8D" w:rsidP="0ECB6F8D">
      <w:pPr>
        <w:spacing w:line="480" w:lineRule="auto"/>
        <w:ind w:firstLine="720"/>
        <w:rPr>
          <w:rFonts w:ascii="Calibri" w:eastAsia="Calibri" w:hAnsi="Calibri" w:cs="Calibri"/>
        </w:rPr>
      </w:pPr>
    </w:p>
    <w:p w14:paraId="3B82D7D6" w14:textId="49A6F034" w:rsidR="0ECB6F8D" w:rsidRDefault="0ECB6F8D" w:rsidP="0ECB6F8D">
      <w:pPr>
        <w:spacing w:line="480" w:lineRule="auto"/>
        <w:ind w:firstLine="720"/>
        <w:rPr>
          <w:rFonts w:ascii="Calibri" w:eastAsia="Calibri" w:hAnsi="Calibri" w:cs="Calibri"/>
        </w:rPr>
      </w:pPr>
    </w:p>
    <w:p w14:paraId="21DC3B6A" w14:textId="29668A3E" w:rsidR="0ECB6F8D" w:rsidRDefault="0ECB6F8D" w:rsidP="0ECB6F8D">
      <w:pPr>
        <w:spacing w:line="480" w:lineRule="auto"/>
        <w:ind w:firstLine="720"/>
        <w:rPr>
          <w:rFonts w:ascii="Calibri" w:eastAsia="Calibri" w:hAnsi="Calibri" w:cs="Calibri"/>
        </w:rPr>
      </w:pPr>
    </w:p>
    <w:p w14:paraId="41910B43" w14:textId="244101AF" w:rsidR="0ECB6F8D" w:rsidRDefault="0ECB6F8D" w:rsidP="0ECB6F8D">
      <w:pPr>
        <w:spacing w:line="480" w:lineRule="auto"/>
        <w:ind w:firstLine="720"/>
        <w:rPr>
          <w:rFonts w:ascii="Calibri" w:eastAsia="Calibri" w:hAnsi="Calibri" w:cs="Calibri"/>
        </w:rPr>
      </w:pPr>
    </w:p>
    <w:p w14:paraId="5EB8C164" w14:textId="68181B0D" w:rsidR="0EFB4FBA" w:rsidRDefault="0EFB4FBA" w:rsidP="211EB2D3">
      <w:pPr>
        <w:spacing w:line="480" w:lineRule="auto"/>
        <w:rPr>
          <w:rFonts w:ascii="Calibri" w:eastAsia="Calibri" w:hAnsi="Calibri" w:cs="Calibri"/>
        </w:rPr>
      </w:pPr>
    </w:p>
    <w:p w14:paraId="2AC47FD5" w14:textId="70F741F1" w:rsidR="0EFB4FBA" w:rsidRDefault="0EFB4FBA" w:rsidP="0EFB4FBA">
      <w:pPr>
        <w:spacing w:line="480" w:lineRule="auto"/>
        <w:rPr>
          <w:rFonts w:ascii="Calibri" w:eastAsia="Calibri" w:hAnsi="Calibri" w:cs="Calibri"/>
        </w:rPr>
      </w:pPr>
    </w:p>
    <w:p w14:paraId="7A9323C4" w14:textId="5739C900" w:rsidR="0EFB4FBA" w:rsidRDefault="0EFB4FBA" w:rsidP="0EFB4FBA"/>
    <w:sectPr w:rsidR="0EFB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185DDD"/>
    <w:rsid w:val="000A6FF2"/>
    <w:rsid w:val="000D2A90"/>
    <w:rsid w:val="000E3FC7"/>
    <w:rsid w:val="000E4BC0"/>
    <w:rsid w:val="000E64BB"/>
    <w:rsid w:val="001070BC"/>
    <w:rsid w:val="001271F2"/>
    <w:rsid w:val="001B0E65"/>
    <w:rsid w:val="001B3144"/>
    <w:rsid w:val="001C2118"/>
    <w:rsid w:val="0020374E"/>
    <w:rsid w:val="0020737B"/>
    <w:rsid w:val="00225E97"/>
    <w:rsid w:val="00233E71"/>
    <w:rsid w:val="0026186C"/>
    <w:rsid w:val="002D70DE"/>
    <w:rsid w:val="002E17D6"/>
    <w:rsid w:val="002F0207"/>
    <w:rsid w:val="00300BDA"/>
    <w:rsid w:val="00307DB3"/>
    <w:rsid w:val="00324BCC"/>
    <w:rsid w:val="00342AC3"/>
    <w:rsid w:val="00347032"/>
    <w:rsid w:val="003634DA"/>
    <w:rsid w:val="0036478B"/>
    <w:rsid w:val="0037361C"/>
    <w:rsid w:val="003F6A67"/>
    <w:rsid w:val="00444EE3"/>
    <w:rsid w:val="00460DFB"/>
    <w:rsid w:val="004965C5"/>
    <w:rsid w:val="004A7E31"/>
    <w:rsid w:val="0053272A"/>
    <w:rsid w:val="00556180"/>
    <w:rsid w:val="005B45A3"/>
    <w:rsid w:val="005E2FE4"/>
    <w:rsid w:val="005E5F75"/>
    <w:rsid w:val="00600E32"/>
    <w:rsid w:val="00640132"/>
    <w:rsid w:val="006406F8"/>
    <w:rsid w:val="00697B79"/>
    <w:rsid w:val="006A3567"/>
    <w:rsid w:val="006A5AB3"/>
    <w:rsid w:val="006C4452"/>
    <w:rsid w:val="006E19B8"/>
    <w:rsid w:val="00700724"/>
    <w:rsid w:val="007145B9"/>
    <w:rsid w:val="00732B25"/>
    <w:rsid w:val="00750AEE"/>
    <w:rsid w:val="0076423D"/>
    <w:rsid w:val="00766E23"/>
    <w:rsid w:val="00781B60"/>
    <w:rsid w:val="00786138"/>
    <w:rsid w:val="007A5FE0"/>
    <w:rsid w:val="007B0896"/>
    <w:rsid w:val="007C7F72"/>
    <w:rsid w:val="007D4186"/>
    <w:rsid w:val="007E33C7"/>
    <w:rsid w:val="008060B4"/>
    <w:rsid w:val="00813238"/>
    <w:rsid w:val="008A3D90"/>
    <w:rsid w:val="008B1A8A"/>
    <w:rsid w:val="008F5440"/>
    <w:rsid w:val="009453F9"/>
    <w:rsid w:val="009815E8"/>
    <w:rsid w:val="00995EF8"/>
    <w:rsid w:val="0099770B"/>
    <w:rsid w:val="009C0417"/>
    <w:rsid w:val="009E4748"/>
    <w:rsid w:val="009F2497"/>
    <w:rsid w:val="00A04137"/>
    <w:rsid w:val="00A0595A"/>
    <w:rsid w:val="00A05D4A"/>
    <w:rsid w:val="00A968CC"/>
    <w:rsid w:val="00AC69CD"/>
    <w:rsid w:val="00AE4D41"/>
    <w:rsid w:val="00B30E84"/>
    <w:rsid w:val="00B44B60"/>
    <w:rsid w:val="00B54CF4"/>
    <w:rsid w:val="00B5557C"/>
    <w:rsid w:val="00B62253"/>
    <w:rsid w:val="00B740F9"/>
    <w:rsid w:val="00B84612"/>
    <w:rsid w:val="00B94F7D"/>
    <w:rsid w:val="00BA00F0"/>
    <w:rsid w:val="00BB0A00"/>
    <w:rsid w:val="00BB355B"/>
    <w:rsid w:val="00BC4325"/>
    <w:rsid w:val="00BC7525"/>
    <w:rsid w:val="00C23DDF"/>
    <w:rsid w:val="00C31844"/>
    <w:rsid w:val="00C54052"/>
    <w:rsid w:val="00C8018A"/>
    <w:rsid w:val="00CC718E"/>
    <w:rsid w:val="00D00350"/>
    <w:rsid w:val="00D3113E"/>
    <w:rsid w:val="00D70E1D"/>
    <w:rsid w:val="00D73005"/>
    <w:rsid w:val="00DA63A3"/>
    <w:rsid w:val="00DA7DCE"/>
    <w:rsid w:val="00DE79DB"/>
    <w:rsid w:val="00E03D44"/>
    <w:rsid w:val="00E331AD"/>
    <w:rsid w:val="00EA124C"/>
    <w:rsid w:val="00EB7DAF"/>
    <w:rsid w:val="00EC4E98"/>
    <w:rsid w:val="00EE59B5"/>
    <w:rsid w:val="00F152C5"/>
    <w:rsid w:val="00F36A58"/>
    <w:rsid w:val="00F37AA2"/>
    <w:rsid w:val="00F37B2D"/>
    <w:rsid w:val="00F64FEE"/>
    <w:rsid w:val="00F652B0"/>
    <w:rsid w:val="00F7539D"/>
    <w:rsid w:val="00FA25BF"/>
    <w:rsid w:val="00FC48CD"/>
    <w:rsid w:val="00FF44BB"/>
    <w:rsid w:val="07BB2435"/>
    <w:rsid w:val="0A6413D4"/>
    <w:rsid w:val="0C2EB59E"/>
    <w:rsid w:val="0D789849"/>
    <w:rsid w:val="0EC7FE82"/>
    <w:rsid w:val="0ECB6F8D"/>
    <w:rsid w:val="0EFB4FBA"/>
    <w:rsid w:val="106DD3F7"/>
    <w:rsid w:val="1796388C"/>
    <w:rsid w:val="1964478A"/>
    <w:rsid w:val="1EEC3160"/>
    <w:rsid w:val="1FF5BB88"/>
    <w:rsid w:val="211EB2D3"/>
    <w:rsid w:val="22AC03D0"/>
    <w:rsid w:val="22ED71CB"/>
    <w:rsid w:val="2562B21E"/>
    <w:rsid w:val="261E1446"/>
    <w:rsid w:val="26BD9146"/>
    <w:rsid w:val="2BE8D42D"/>
    <w:rsid w:val="30D5663B"/>
    <w:rsid w:val="33905776"/>
    <w:rsid w:val="36FDE43D"/>
    <w:rsid w:val="3871AADD"/>
    <w:rsid w:val="3A3C7432"/>
    <w:rsid w:val="3AC0BBC5"/>
    <w:rsid w:val="3AFBC84D"/>
    <w:rsid w:val="3B665144"/>
    <w:rsid w:val="3BD3FDAB"/>
    <w:rsid w:val="3DB4E562"/>
    <w:rsid w:val="40591EFB"/>
    <w:rsid w:val="4427B3B6"/>
    <w:rsid w:val="44DD0F9C"/>
    <w:rsid w:val="49C434DF"/>
    <w:rsid w:val="4DA86476"/>
    <w:rsid w:val="4E4DE53C"/>
    <w:rsid w:val="4F78310A"/>
    <w:rsid w:val="50EAC2EB"/>
    <w:rsid w:val="50FC0AB8"/>
    <w:rsid w:val="5205E774"/>
    <w:rsid w:val="5E6C6B64"/>
    <w:rsid w:val="657D0165"/>
    <w:rsid w:val="6612F643"/>
    <w:rsid w:val="67185DDD"/>
    <w:rsid w:val="67FA3820"/>
    <w:rsid w:val="6B056ABB"/>
    <w:rsid w:val="6B49D530"/>
    <w:rsid w:val="6C9B4415"/>
    <w:rsid w:val="6F3D5EFC"/>
    <w:rsid w:val="702E0B8E"/>
    <w:rsid w:val="7759DB1D"/>
    <w:rsid w:val="78C72FD9"/>
    <w:rsid w:val="7B7BA222"/>
    <w:rsid w:val="7C9D821B"/>
    <w:rsid w:val="7D12A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B096"/>
  <w15:chartTrackingRefBased/>
  <w15:docId w15:val="{D0373AFA-D0EC-489D-A610-FAFF793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E3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FC7"/>
  </w:style>
  <w:style w:type="character" w:customStyle="1" w:styleId="eop">
    <w:name w:val="eop"/>
    <w:basedOn w:val="DefaultParagraphFont"/>
    <w:rsid w:val="000E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0840">
      <w:bodyDiv w:val="1"/>
      <w:marLeft w:val="0"/>
      <w:marRight w:val="0"/>
      <w:marTop w:val="0"/>
      <w:marBottom w:val="0"/>
      <w:divBdr>
        <w:top w:val="none" w:sz="0" w:space="0" w:color="auto"/>
        <w:left w:val="none" w:sz="0" w:space="0" w:color="auto"/>
        <w:bottom w:val="none" w:sz="0" w:space="0" w:color="auto"/>
        <w:right w:val="none" w:sz="0" w:space="0" w:color="auto"/>
      </w:divBdr>
      <w:divsChild>
        <w:div w:id="1457985993">
          <w:marLeft w:val="0"/>
          <w:marRight w:val="0"/>
          <w:marTop w:val="0"/>
          <w:marBottom w:val="0"/>
          <w:divBdr>
            <w:top w:val="none" w:sz="0" w:space="0" w:color="auto"/>
            <w:left w:val="none" w:sz="0" w:space="0" w:color="auto"/>
            <w:bottom w:val="none" w:sz="0" w:space="0" w:color="auto"/>
            <w:right w:val="none" w:sz="0" w:space="0" w:color="auto"/>
          </w:divBdr>
          <w:divsChild>
            <w:div w:id="1053238110">
              <w:marLeft w:val="0"/>
              <w:marRight w:val="0"/>
              <w:marTop w:val="0"/>
              <w:marBottom w:val="0"/>
              <w:divBdr>
                <w:top w:val="none" w:sz="0" w:space="0" w:color="auto"/>
                <w:left w:val="none" w:sz="0" w:space="0" w:color="auto"/>
                <w:bottom w:val="none" w:sz="0" w:space="0" w:color="auto"/>
                <w:right w:val="none" w:sz="0" w:space="0" w:color="auto"/>
              </w:divBdr>
              <w:divsChild>
                <w:div w:id="1577400702">
                  <w:marLeft w:val="0"/>
                  <w:marRight w:val="0"/>
                  <w:marTop w:val="0"/>
                  <w:marBottom w:val="0"/>
                  <w:divBdr>
                    <w:top w:val="none" w:sz="0" w:space="0" w:color="auto"/>
                    <w:left w:val="none" w:sz="0" w:space="0" w:color="auto"/>
                    <w:bottom w:val="none" w:sz="0" w:space="0" w:color="auto"/>
                    <w:right w:val="none" w:sz="0" w:space="0" w:color="auto"/>
                  </w:divBdr>
                </w:div>
              </w:divsChild>
            </w:div>
            <w:div w:id="2121680736">
              <w:marLeft w:val="0"/>
              <w:marRight w:val="0"/>
              <w:marTop w:val="0"/>
              <w:marBottom w:val="0"/>
              <w:divBdr>
                <w:top w:val="none" w:sz="0" w:space="0" w:color="auto"/>
                <w:left w:val="none" w:sz="0" w:space="0" w:color="auto"/>
                <w:bottom w:val="none" w:sz="0" w:space="0" w:color="auto"/>
                <w:right w:val="none" w:sz="0" w:space="0" w:color="auto"/>
              </w:divBdr>
              <w:divsChild>
                <w:div w:id="1701008873">
                  <w:marLeft w:val="0"/>
                  <w:marRight w:val="0"/>
                  <w:marTop w:val="0"/>
                  <w:marBottom w:val="0"/>
                  <w:divBdr>
                    <w:top w:val="none" w:sz="0" w:space="0" w:color="auto"/>
                    <w:left w:val="none" w:sz="0" w:space="0" w:color="auto"/>
                    <w:bottom w:val="none" w:sz="0" w:space="0" w:color="auto"/>
                    <w:right w:val="none" w:sz="0" w:space="0" w:color="auto"/>
                  </w:divBdr>
                </w:div>
              </w:divsChild>
            </w:div>
            <w:div w:id="221868974">
              <w:marLeft w:val="0"/>
              <w:marRight w:val="0"/>
              <w:marTop w:val="0"/>
              <w:marBottom w:val="0"/>
              <w:divBdr>
                <w:top w:val="none" w:sz="0" w:space="0" w:color="auto"/>
                <w:left w:val="none" w:sz="0" w:space="0" w:color="auto"/>
                <w:bottom w:val="none" w:sz="0" w:space="0" w:color="auto"/>
                <w:right w:val="none" w:sz="0" w:space="0" w:color="auto"/>
              </w:divBdr>
              <w:divsChild>
                <w:div w:id="1569223848">
                  <w:marLeft w:val="0"/>
                  <w:marRight w:val="0"/>
                  <w:marTop w:val="0"/>
                  <w:marBottom w:val="0"/>
                  <w:divBdr>
                    <w:top w:val="none" w:sz="0" w:space="0" w:color="auto"/>
                    <w:left w:val="none" w:sz="0" w:space="0" w:color="auto"/>
                    <w:bottom w:val="none" w:sz="0" w:space="0" w:color="auto"/>
                    <w:right w:val="none" w:sz="0" w:space="0" w:color="auto"/>
                  </w:divBdr>
                </w:div>
              </w:divsChild>
            </w:div>
            <w:div w:id="1710910054">
              <w:marLeft w:val="0"/>
              <w:marRight w:val="0"/>
              <w:marTop w:val="0"/>
              <w:marBottom w:val="0"/>
              <w:divBdr>
                <w:top w:val="none" w:sz="0" w:space="0" w:color="auto"/>
                <w:left w:val="none" w:sz="0" w:space="0" w:color="auto"/>
                <w:bottom w:val="none" w:sz="0" w:space="0" w:color="auto"/>
                <w:right w:val="none" w:sz="0" w:space="0" w:color="auto"/>
              </w:divBdr>
              <w:divsChild>
                <w:div w:id="2017223332">
                  <w:marLeft w:val="0"/>
                  <w:marRight w:val="0"/>
                  <w:marTop w:val="0"/>
                  <w:marBottom w:val="0"/>
                  <w:divBdr>
                    <w:top w:val="none" w:sz="0" w:space="0" w:color="auto"/>
                    <w:left w:val="none" w:sz="0" w:space="0" w:color="auto"/>
                    <w:bottom w:val="none" w:sz="0" w:space="0" w:color="auto"/>
                    <w:right w:val="none" w:sz="0" w:space="0" w:color="auto"/>
                  </w:divBdr>
                </w:div>
              </w:divsChild>
            </w:div>
            <w:div w:id="1382558823">
              <w:marLeft w:val="0"/>
              <w:marRight w:val="0"/>
              <w:marTop w:val="0"/>
              <w:marBottom w:val="0"/>
              <w:divBdr>
                <w:top w:val="none" w:sz="0" w:space="0" w:color="auto"/>
                <w:left w:val="none" w:sz="0" w:space="0" w:color="auto"/>
                <w:bottom w:val="none" w:sz="0" w:space="0" w:color="auto"/>
                <w:right w:val="none" w:sz="0" w:space="0" w:color="auto"/>
              </w:divBdr>
              <w:divsChild>
                <w:div w:id="1669020321">
                  <w:marLeft w:val="0"/>
                  <w:marRight w:val="0"/>
                  <w:marTop w:val="0"/>
                  <w:marBottom w:val="0"/>
                  <w:divBdr>
                    <w:top w:val="none" w:sz="0" w:space="0" w:color="auto"/>
                    <w:left w:val="none" w:sz="0" w:space="0" w:color="auto"/>
                    <w:bottom w:val="none" w:sz="0" w:space="0" w:color="auto"/>
                    <w:right w:val="none" w:sz="0" w:space="0" w:color="auto"/>
                  </w:divBdr>
                </w:div>
              </w:divsChild>
            </w:div>
            <w:div w:id="67119112">
              <w:marLeft w:val="0"/>
              <w:marRight w:val="0"/>
              <w:marTop w:val="0"/>
              <w:marBottom w:val="0"/>
              <w:divBdr>
                <w:top w:val="none" w:sz="0" w:space="0" w:color="auto"/>
                <w:left w:val="none" w:sz="0" w:space="0" w:color="auto"/>
                <w:bottom w:val="none" w:sz="0" w:space="0" w:color="auto"/>
                <w:right w:val="none" w:sz="0" w:space="0" w:color="auto"/>
              </w:divBdr>
              <w:divsChild>
                <w:div w:id="2122414008">
                  <w:marLeft w:val="0"/>
                  <w:marRight w:val="0"/>
                  <w:marTop w:val="0"/>
                  <w:marBottom w:val="0"/>
                  <w:divBdr>
                    <w:top w:val="none" w:sz="0" w:space="0" w:color="auto"/>
                    <w:left w:val="none" w:sz="0" w:space="0" w:color="auto"/>
                    <w:bottom w:val="none" w:sz="0" w:space="0" w:color="auto"/>
                    <w:right w:val="none" w:sz="0" w:space="0" w:color="auto"/>
                  </w:divBdr>
                </w:div>
              </w:divsChild>
            </w:div>
            <w:div w:id="1965694774">
              <w:marLeft w:val="0"/>
              <w:marRight w:val="0"/>
              <w:marTop w:val="0"/>
              <w:marBottom w:val="0"/>
              <w:divBdr>
                <w:top w:val="none" w:sz="0" w:space="0" w:color="auto"/>
                <w:left w:val="none" w:sz="0" w:space="0" w:color="auto"/>
                <w:bottom w:val="none" w:sz="0" w:space="0" w:color="auto"/>
                <w:right w:val="none" w:sz="0" w:space="0" w:color="auto"/>
              </w:divBdr>
              <w:divsChild>
                <w:div w:id="1640111616">
                  <w:marLeft w:val="0"/>
                  <w:marRight w:val="0"/>
                  <w:marTop w:val="0"/>
                  <w:marBottom w:val="0"/>
                  <w:divBdr>
                    <w:top w:val="none" w:sz="0" w:space="0" w:color="auto"/>
                    <w:left w:val="none" w:sz="0" w:space="0" w:color="auto"/>
                    <w:bottom w:val="none" w:sz="0" w:space="0" w:color="auto"/>
                    <w:right w:val="none" w:sz="0" w:space="0" w:color="auto"/>
                  </w:divBdr>
                </w:div>
              </w:divsChild>
            </w:div>
            <w:div w:id="1759250851">
              <w:marLeft w:val="0"/>
              <w:marRight w:val="0"/>
              <w:marTop w:val="0"/>
              <w:marBottom w:val="0"/>
              <w:divBdr>
                <w:top w:val="none" w:sz="0" w:space="0" w:color="auto"/>
                <w:left w:val="none" w:sz="0" w:space="0" w:color="auto"/>
                <w:bottom w:val="none" w:sz="0" w:space="0" w:color="auto"/>
                <w:right w:val="none" w:sz="0" w:space="0" w:color="auto"/>
              </w:divBdr>
              <w:divsChild>
                <w:div w:id="1765951632">
                  <w:marLeft w:val="0"/>
                  <w:marRight w:val="0"/>
                  <w:marTop w:val="0"/>
                  <w:marBottom w:val="0"/>
                  <w:divBdr>
                    <w:top w:val="none" w:sz="0" w:space="0" w:color="auto"/>
                    <w:left w:val="none" w:sz="0" w:space="0" w:color="auto"/>
                    <w:bottom w:val="none" w:sz="0" w:space="0" w:color="auto"/>
                    <w:right w:val="none" w:sz="0" w:space="0" w:color="auto"/>
                  </w:divBdr>
                </w:div>
              </w:divsChild>
            </w:div>
            <w:div w:id="123693617">
              <w:marLeft w:val="0"/>
              <w:marRight w:val="0"/>
              <w:marTop w:val="0"/>
              <w:marBottom w:val="0"/>
              <w:divBdr>
                <w:top w:val="none" w:sz="0" w:space="0" w:color="auto"/>
                <w:left w:val="none" w:sz="0" w:space="0" w:color="auto"/>
                <w:bottom w:val="none" w:sz="0" w:space="0" w:color="auto"/>
                <w:right w:val="none" w:sz="0" w:space="0" w:color="auto"/>
              </w:divBdr>
              <w:divsChild>
                <w:div w:id="994068965">
                  <w:marLeft w:val="0"/>
                  <w:marRight w:val="0"/>
                  <w:marTop w:val="0"/>
                  <w:marBottom w:val="0"/>
                  <w:divBdr>
                    <w:top w:val="none" w:sz="0" w:space="0" w:color="auto"/>
                    <w:left w:val="none" w:sz="0" w:space="0" w:color="auto"/>
                    <w:bottom w:val="none" w:sz="0" w:space="0" w:color="auto"/>
                    <w:right w:val="none" w:sz="0" w:space="0" w:color="auto"/>
                  </w:divBdr>
                </w:div>
              </w:divsChild>
            </w:div>
            <w:div w:id="1315184541">
              <w:marLeft w:val="0"/>
              <w:marRight w:val="0"/>
              <w:marTop w:val="0"/>
              <w:marBottom w:val="0"/>
              <w:divBdr>
                <w:top w:val="none" w:sz="0" w:space="0" w:color="auto"/>
                <w:left w:val="none" w:sz="0" w:space="0" w:color="auto"/>
                <w:bottom w:val="none" w:sz="0" w:space="0" w:color="auto"/>
                <w:right w:val="none" w:sz="0" w:space="0" w:color="auto"/>
              </w:divBdr>
              <w:divsChild>
                <w:div w:id="299574697">
                  <w:marLeft w:val="0"/>
                  <w:marRight w:val="0"/>
                  <w:marTop w:val="0"/>
                  <w:marBottom w:val="0"/>
                  <w:divBdr>
                    <w:top w:val="none" w:sz="0" w:space="0" w:color="auto"/>
                    <w:left w:val="none" w:sz="0" w:space="0" w:color="auto"/>
                    <w:bottom w:val="none" w:sz="0" w:space="0" w:color="auto"/>
                    <w:right w:val="none" w:sz="0" w:space="0" w:color="auto"/>
                  </w:divBdr>
                </w:div>
              </w:divsChild>
            </w:div>
            <w:div w:id="990446435">
              <w:marLeft w:val="0"/>
              <w:marRight w:val="0"/>
              <w:marTop w:val="0"/>
              <w:marBottom w:val="0"/>
              <w:divBdr>
                <w:top w:val="none" w:sz="0" w:space="0" w:color="auto"/>
                <w:left w:val="none" w:sz="0" w:space="0" w:color="auto"/>
                <w:bottom w:val="none" w:sz="0" w:space="0" w:color="auto"/>
                <w:right w:val="none" w:sz="0" w:space="0" w:color="auto"/>
              </w:divBdr>
              <w:divsChild>
                <w:div w:id="1566138913">
                  <w:marLeft w:val="0"/>
                  <w:marRight w:val="0"/>
                  <w:marTop w:val="0"/>
                  <w:marBottom w:val="0"/>
                  <w:divBdr>
                    <w:top w:val="none" w:sz="0" w:space="0" w:color="auto"/>
                    <w:left w:val="none" w:sz="0" w:space="0" w:color="auto"/>
                    <w:bottom w:val="none" w:sz="0" w:space="0" w:color="auto"/>
                    <w:right w:val="none" w:sz="0" w:space="0" w:color="auto"/>
                  </w:divBdr>
                </w:div>
              </w:divsChild>
            </w:div>
            <w:div w:id="128715625">
              <w:marLeft w:val="0"/>
              <w:marRight w:val="0"/>
              <w:marTop w:val="0"/>
              <w:marBottom w:val="0"/>
              <w:divBdr>
                <w:top w:val="none" w:sz="0" w:space="0" w:color="auto"/>
                <w:left w:val="none" w:sz="0" w:space="0" w:color="auto"/>
                <w:bottom w:val="none" w:sz="0" w:space="0" w:color="auto"/>
                <w:right w:val="none" w:sz="0" w:space="0" w:color="auto"/>
              </w:divBdr>
              <w:divsChild>
                <w:div w:id="1670674107">
                  <w:marLeft w:val="0"/>
                  <w:marRight w:val="0"/>
                  <w:marTop w:val="0"/>
                  <w:marBottom w:val="0"/>
                  <w:divBdr>
                    <w:top w:val="none" w:sz="0" w:space="0" w:color="auto"/>
                    <w:left w:val="none" w:sz="0" w:space="0" w:color="auto"/>
                    <w:bottom w:val="none" w:sz="0" w:space="0" w:color="auto"/>
                    <w:right w:val="none" w:sz="0" w:space="0" w:color="auto"/>
                  </w:divBdr>
                </w:div>
              </w:divsChild>
            </w:div>
            <w:div w:id="989941867">
              <w:marLeft w:val="0"/>
              <w:marRight w:val="0"/>
              <w:marTop w:val="0"/>
              <w:marBottom w:val="0"/>
              <w:divBdr>
                <w:top w:val="none" w:sz="0" w:space="0" w:color="auto"/>
                <w:left w:val="none" w:sz="0" w:space="0" w:color="auto"/>
                <w:bottom w:val="none" w:sz="0" w:space="0" w:color="auto"/>
                <w:right w:val="none" w:sz="0" w:space="0" w:color="auto"/>
              </w:divBdr>
              <w:divsChild>
                <w:div w:id="1034573988">
                  <w:marLeft w:val="0"/>
                  <w:marRight w:val="0"/>
                  <w:marTop w:val="0"/>
                  <w:marBottom w:val="0"/>
                  <w:divBdr>
                    <w:top w:val="none" w:sz="0" w:space="0" w:color="auto"/>
                    <w:left w:val="none" w:sz="0" w:space="0" w:color="auto"/>
                    <w:bottom w:val="none" w:sz="0" w:space="0" w:color="auto"/>
                    <w:right w:val="none" w:sz="0" w:space="0" w:color="auto"/>
                  </w:divBdr>
                </w:div>
              </w:divsChild>
            </w:div>
            <w:div w:id="438916279">
              <w:marLeft w:val="0"/>
              <w:marRight w:val="0"/>
              <w:marTop w:val="0"/>
              <w:marBottom w:val="0"/>
              <w:divBdr>
                <w:top w:val="none" w:sz="0" w:space="0" w:color="auto"/>
                <w:left w:val="none" w:sz="0" w:space="0" w:color="auto"/>
                <w:bottom w:val="none" w:sz="0" w:space="0" w:color="auto"/>
                <w:right w:val="none" w:sz="0" w:space="0" w:color="auto"/>
              </w:divBdr>
              <w:divsChild>
                <w:div w:id="8751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8443">
      <w:bodyDiv w:val="1"/>
      <w:marLeft w:val="0"/>
      <w:marRight w:val="0"/>
      <w:marTop w:val="0"/>
      <w:marBottom w:val="0"/>
      <w:divBdr>
        <w:top w:val="none" w:sz="0" w:space="0" w:color="auto"/>
        <w:left w:val="none" w:sz="0" w:space="0" w:color="auto"/>
        <w:bottom w:val="none" w:sz="0" w:space="0" w:color="auto"/>
        <w:right w:val="none" w:sz="0" w:space="0" w:color="auto"/>
      </w:divBdr>
      <w:divsChild>
        <w:div w:id="1942031426">
          <w:marLeft w:val="0"/>
          <w:marRight w:val="0"/>
          <w:marTop w:val="0"/>
          <w:marBottom w:val="0"/>
          <w:divBdr>
            <w:top w:val="none" w:sz="0" w:space="0" w:color="auto"/>
            <w:left w:val="none" w:sz="0" w:space="0" w:color="auto"/>
            <w:bottom w:val="none" w:sz="0" w:space="0" w:color="auto"/>
            <w:right w:val="none" w:sz="0" w:space="0" w:color="auto"/>
          </w:divBdr>
          <w:divsChild>
            <w:div w:id="1680160966">
              <w:marLeft w:val="0"/>
              <w:marRight w:val="0"/>
              <w:marTop w:val="0"/>
              <w:marBottom w:val="0"/>
              <w:divBdr>
                <w:top w:val="none" w:sz="0" w:space="0" w:color="auto"/>
                <w:left w:val="none" w:sz="0" w:space="0" w:color="auto"/>
                <w:bottom w:val="none" w:sz="0" w:space="0" w:color="auto"/>
                <w:right w:val="none" w:sz="0" w:space="0" w:color="auto"/>
              </w:divBdr>
              <w:divsChild>
                <w:div w:id="808550335">
                  <w:marLeft w:val="0"/>
                  <w:marRight w:val="0"/>
                  <w:marTop w:val="0"/>
                  <w:marBottom w:val="0"/>
                  <w:divBdr>
                    <w:top w:val="none" w:sz="0" w:space="0" w:color="auto"/>
                    <w:left w:val="none" w:sz="0" w:space="0" w:color="auto"/>
                    <w:bottom w:val="none" w:sz="0" w:space="0" w:color="auto"/>
                    <w:right w:val="none" w:sz="0" w:space="0" w:color="auto"/>
                  </w:divBdr>
                </w:div>
              </w:divsChild>
            </w:div>
            <w:div w:id="1523208568">
              <w:marLeft w:val="0"/>
              <w:marRight w:val="0"/>
              <w:marTop w:val="0"/>
              <w:marBottom w:val="0"/>
              <w:divBdr>
                <w:top w:val="none" w:sz="0" w:space="0" w:color="auto"/>
                <w:left w:val="none" w:sz="0" w:space="0" w:color="auto"/>
                <w:bottom w:val="none" w:sz="0" w:space="0" w:color="auto"/>
                <w:right w:val="none" w:sz="0" w:space="0" w:color="auto"/>
              </w:divBdr>
              <w:divsChild>
                <w:div w:id="778718326">
                  <w:marLeft w:val="0"/>
                  <w:marRight w:val="0"/>
                  <w:marTop w:val="0"/>
                  <w:marBottom w:val="0"/>
                  <w:divBdr>
                    <w:top w:val="none" w:sz="0" w:space="0" w:color="auto"/>
                    <w:left w:val="none" w:sz="0" w:space="0" w:color="auto"/>
                    <w:bottom w:val="none" w:sz="0" w:space="0" w:color="auto"/>
                    <w:right w:val="none" w:sz="0" w:space="0" w:color="auto"/>
                  </w:divBdr>
                </w:div>
              </w:divsChild>
            </w:div>
            <w:div w:id="773861105">
              <w:marLeft w:val="0"/>
              <w:marRight w:val="0"/>
              <w:marTop w:val="0"/>
              <w:marBottom w:val="0"/>
              <w:divBdr>
                <w:top w:val="none" w:sz="0" w:space="0" w:color="auto"/>
                <w:left w:val="none" w:sz="0" w:space="0" w:color="auto"/>
                <w:bottom w:val="none" w:sz="0" w:space="0" w:color="auto"/>
                <w:right w:val="none" w:sz="0" w:space="0" w:color="auto"/>
              </w:divBdr>
              <w:divsChild>
                <w:div w:id="390930515">
                  <w:marLeft w:val="0"/>
                  <w:marRight w:val="0"/>
                  <w:marTop w:val="0"/>
                  <w:marBottom w:val="0"/>
                  <w:divBdr>
                    <w:top w:val="none" w:sz="0" w:space="0" w:color="auto"/>
                    <w:left w:val="none" w:sz="0" w:space="0" w:color="auto"/>
                    <w:bottom w:val="none" w:sz="0" w:space="0" w:color="auto"/>
                    <w:right w:val="none" w:sz="0" w:space="0" w:color="auto"/>
                  </w:divBdr>
                </w:div>
              </w:divsChild>
            </w:div>
            <w:div w:id="1069888364">
              <w:marLeft w:val="0"/>
              <w:marRight w:val="0"/>
              <w:marTop w:val="0"/>
              <w:marBottom w:val="0"/>
              <w:divBdr>
                <w:top w:val="none" w:sz="0" w:space="0" w:color="auto"/>
                <w:left w:val="none" w:sz="0" w:space="0" w:color="auto"/>
                <w:bottom w:val="none" w:sz="0" w:space="0" w:color="auto"/>
                <w:right w:val="none" w:sz="0" w:space="0" w:color="auto"/>
              </w:divBdr>
              <w:divsChild>
                <w:div w:id="1612012205">
                  <w:marLeft w:val="0"/>
                  <w:marRight w:val="0"/>
                  <w:marTop w:val="0"/>
                  <w:marBottom w:val="0"/>
                  <w:divBdr>
                    <w:top w:val="none" w:sz="0" w:space="0" w:color="auto"/>
                    <w:left w:val="none" w:sz="0" w:space="0" w:color="auto"/>
                    <w:bottom w:val="none" w:sz="0" w:space="0" w:color="auto"/>
                    <w:right w:val="none" w:sz="0" w:space="0" w:color="auto"/>
                  </w:divBdr>
                </w:div>
              </w:divsChild>
            </w:div>
            <w:div w:id="390615383">
              <w:marLeft w:val="0"/>
              <w:marRight w:val="0"/>
              <w:marTop w:val="0"/>
              <w:marBottom w:val="0"/>
              <w:divBdr>
                <w:top w:val="none" w:sz="0" w:space="0" w:color="auto"/>
                <w:left w:val="none" w:sz="0" w:space="0" w:color="auto"/>
                <w:bottom w:val="none" w:sz="0" w:space="0" w:color="auto"/>
                <w:right w:val="none" w:sz="0" w:space="0" w:color="auto"/>
              </w:divBdr>
              <w:divsChild>
                <w:div w:id="1148861475">
                  <w:marLeft w:val="0"/>
                  <w:marRight w:val="0"/>
                  <w:marTop w:val="0"/>
                  <w:marBottom w:val="0"/>
                  <w:divBdr>
                    <w:top w:val="none" w:sz="0" w:space="0" w:color="auto"/>
                    <w:left w:val="none" w:sz="0" w:space="0" w:color="auto"/>
                    <w:bottom w:val="none" w:sz="0" w:space="0" w:color="auto"/>
                    <w:right w:val="none" w:sz="0" w:space="0" w:color="auto"/>
                  </w:divBdr>
                </w:div>
              </w:divsChild>
            </w:div>
            <w:div w:id="547038038">
              <w:marLeft w:val="0"/>
              <w:marRight w:val="0"/>
              <w:marTop w:val="0"/>
              <w:marBottom w:val="0"/>
              <w:divBdr>
                <w:top w:val="none" w:sz="0" w:space="0" w:color="auto"/>
                <w:left w:val="none" w:sz="0" w:space="0" w:color="auto"/>
                <w:bottom w:val="none" w:sz="0" w:space="0" w:color="auto"/>
                <w:right w:val="none" w:sz="0" w:space="0" w:color="auto"/>
              </w:divBdr>
              <w:divsChild>
                <w:div w:id="108092083">
                  <w:marLeft w:val="0"/>
                  <w:marRight w:val="0"/>
                  <w:marTop w:val="0"/>
                  <w:marBottom w:val="0"/>
                  <w:divBdr>
                    <w:top w:val="none" w:sz="0" w:space="0" w:color="auto"/>
                    <w:left w:val="none" w:sz="0" w:space="0" w:color="auto"/>
                    <w:bottom w:val="none" w:sz="0" w:space="0" w:color="auto"/>
                    <w:right w:val="none" w:sz="0" w:space="0" w:color="auto"/>
                  </w:divBdr>
                </w:div>
              </w:divsChild>
            </w:div>
            <w:div w:id="630331533">
              <w:marLeft w:val="0"/>
              <w:marRight w:val="0"/>
              <w:marTop w:val="0"/>
              <w:marBottom w:val="0"/>
              <w:divBdr>
                <w:top w:val="none" w:sz="0" w:space="0" w:color="auto"/>
                <w:left w:val="none" w:sz="0" w:space="0" w:color="auto"/>
                <w:bottom w:val="none" w:sz="0" w:space="0" w:color="auto"/>
                <w:right w:val="none" w:sz="0" w:space="0" w:color="auto"/>
              </w:divBdr>
              <w:divsChild>
                <w:div w:id="836119499">
                  <w:marLeft w:val="0"/>
                  <w:marRight w:val="0"/>
                  <w:marTop w:val="0"/>
                  <w:marBottom w:val="0"/>
                  <w:divBdr>
                    <w:top w:val="none" w:sz="0" w:space="0" w:color="auto"/>
                    <w:left w:val="none" w:sz="0" w:space="0" w:color="auto"/>
                    <w:bottom w:val="none" w:sz="0" w:space="0" w:color="auto"/>
                    <w:right w:val="none" w:sz="0" w:space="0" w:color="auto"/>
                  </w:divBdr>
                </w:div>
              </w:divsChild>
            </w:div>
            <w:div w:id="1838374384">
              <w:marLeft w:val="0"/>
              <w:marRight w:val="0"/>
              <w:marTop w:val="0"/>
              <w:marBottom w:val="0"/>
              <w:divBdr>
                <w:top w:val="none" w:sz="0" w:space="0" w:color="auto"/>
                <w:left w:val="none" w:sz="0" w:space="0" w:color="auto"/>
                <w:bottom w:val="none" w:sz="0" w:space="0" w:color="auto"/>
                <w:right w:val="none" w:sz="0" w:space="0" w:color="auto"/>
              </w:divBdr>
              <w:divsChild>
                <w:div w:id="1719233042">
                  <w:marLeft w:val="0"/>
                  <w:marRight w:val="0"/>
                  <w:marTop w:val="0"/>
                  <w:marBottom w:val="0"/>
                  <w:divBdr>
                    <w:top w:val="none" w:sz="0" w:space="0" w:color="auto"/>
                    <w:left w:val="none" w:sz="0" w:space="0" w:color="auto"/>
                    <w:bottom w:val="none" w:sz="0" w:space="0" w:color="auto"/>
                    <w:right w:val="none" w:sz="0" w:space="0" w:color="auto"/>
                  </w:divBdr>
                </w:div>
              </w:divsChild>
            </w:div>
            <w:div w:id="231742181">
              <w:marLeft w:val="0"/>
              <w:marRight w:val="0"/>
              <w:marTop w:val="0"/>
              <w:marBottom w:val="0"/>
              <w:divBdr>
                <w:top w:val="none" w:sz="0" w:space="0" w:color="auto"/>
                <w:left w:val="none" w:sz="0" w:space="0" w:color="auto"/>
                <w:bottom w:val="none" w:sz="0" w:space="0" w:color="auto"/>
                <w:right w:val="none" w:sz="0" w:space="0" w:color="auto"/>
              </w:divBdr>
              <w:divsChild>
                <w:div w:id="1978761115">
                  <w:marLeft w:val="0"/>
                  <w:marRight w:val="0"/>
                  <w:marTop w:val="0"/>
                  <w:marBottom w:val="0"/>
                  <w:divBdr>
                    <w:top w:val="none" w:sz="0" w:space="0" w:color="auto"/>
                    <w:left w:val="none" w:sz="0" w:space="0" w:color="auto"/>
                    <w:bottom w:val="none" w:sz="0" w:space="0" w:color="auto"/>
                    <w:right w:val="none" w:sz="0" w:space="0" w:color="auto"/>
                  </w:divBdr>
                </w:div>
              </w:divsChild>
            </w:div>
            <w:div w:id="541287266">
              <w:marLeft w:val="0"/>
              <w:marRight w:val="0"/>
              <w:marTop w:val="0"/>
              <w:marBottom w:val="0"/>
              <w:divBdr>
                <w:top w:val="none" w:sz="0" w:space="0" w:color="auto"/>
                <w:left w:val="none" w:sz="0" w:space="0" w:color="auto"/>
                <w:bottom w:val="none" w:sz="0" w:space="0" w:color="auto"/>
                <w:right w:val="none" w:sz="0" w:space="0" w:color="auto"/>
              </w:divBdr>
              <w:divsChild>
                <w:div w:id="1400589655">
                  <w:marLeft w:val="0"/>
                  <w:marRight w:val="0"/>
                  <w:marTop w:val="0"/>
                  <w:marBottom w:val="0"/>
                  <w:divBdr>
                    <w:top w:val="none" w:sz="0" w:space="0" w:color="auto"/>
                    <w:left w:val="none" w:sz="0" w:space="0" w:color="auto"/>
                    <w:bottom w:val="none" w:sz="0" w:space="0" w:color="auto"/>
                    <w:right w:val="none" w:sz="0" w:space="0" w:color="auto"/>
                  </w:divBdr>
                </w:div>
              </w:divsChild>
            </w:div>
            <w:div w:id="32704033">
              <w:marLeft w:val="0"/>
              <w:marRight w:val="0"/>
              <w:marTop w:val="0"/>
              <w:marBottom w:val="0"/>
              <w:divBdr>
                <w:top w:val="none" w:sz="0" w:space="0" w:color="auto"/>
                <w:left w:val="none" w:sz="0" w:space="0" w:color="auto"/>
                <w:bottom w:val="none" w:sz="0" w:space="0" w:color="auto"/>
                <w:right w:val="none" w:sz="0" w:space="0" w:color="auto"/>
              </w:divBdr>
              <w:divsChild>
                <w:div w:id="1358582042">
                  <w:marLeft w:val="0"/>
                  <w:marRight w:val="0"/>
                  <w:marTop w:val="0"/>
                  <w:marBottom w:val="0"/>
                  <w:divBdr>
                    <w:top w:val="none" w:sz="0" w:space="0" w:color="auto"/>
                    <w:left w:val="none" w:sz="0" w:space="0" w:color="auto"/>
                    <w:bottom w:val="none" w:sz="0" w:space="0" w:color="auto"/>
                    <w:right w:val="none" w:sz="0" w:space="0" w:color="auto"/>
                  </w:divBdr>
                </w:div>
              </w:divsChild>
            </w:div>
            <w:div w:id="1195655093">
              <w:marLeft w:val="0"/>
              <w:marRight w:val="0"/>
              <w:marTop w:val="0"/>
              <w:marBottom w:val="0"/>
              <w:divBdr>
                <w:top w:val="none" w:sz="0" w:space="0" w:color="auto"/>
                <w:left w:val="none" w:sz="0" w:space="0" w:color="auto"/>
                <w:bottom w:val="none" w:sz="0" w:space="0" w:color="auto"/>
                <w:right w:val="none" w:sz="0" w:space="0" w:color="auto"/>
              </w:divBdr>
              <w:divsChild>
                <w:div w:id="711032292">
                  <w:marLeft w:val="0"/>
                  <w:marRight w:val="0"/>
                  <w:marTop w:val="0"/>
                  <w:marBottom w:val="0"/>
                  <w:divBdr>
                    <w:top w:val="none" w:sz="0" w:space="0" w:color="auto"/>
                    <w:left w:val="none" w:sz="0" w:space="0" w:color="auto"/>
                    <w:bottom w:val="none" w:sz="0" w:space="0" w:color="auto"/>
                    <w:right w:val="none" w:sz="0" w:space="0" w:color="auto"/>
                  </w:divBdr>
                </w:div>
              </w:divsChild>
            </w:div>
            <w:div w:id="790899890">
              <w:marLeft w:val="0"/>
              <w:marRight w:val="0"/>
              <w:marTop w:val="0"/>
              <w:marBottom w:val="0"/>
              <w:divBdr>
                <w:top w:val="none" w:sz="0" w:space="0" w:color="auto"/>
                <w:left w:val="none" w:sz="0" w:space="0" w:color="auto"/>
                <w:bottom w:val="none" w:sz="0" w:space="0" w:color="auto"/>
                <w:right w:val="none" w:sz="0" w:space="0" w:color="auto"/>
              </w:divBdr>
              <w:divsChild>
                <w:div w:id="383717658">
                  <w:marLeft w:val="0"/>
                  <w:marRight w:val="0"/>
                  <w:marTop w:val="0"/>
                  <w:marBottom w:val="0"/>
                  <w:divBdr>
                    <w:top w:val="none" w:sz="0" w:space="0" w:color="auto"/>
                    <w:left w:val="none" w:sz="0" w:space="0" w:color="auto"/>
                    <w:bottom w:val="none" w:sz="0" w:space="0" w:color="auto"/>
                    <w:right w:val="none" w:sz="0" w:space="0" w:color="auto"/>
                  </w:divBdr>
                </w:div>
              </w:divsChild>
            </w:div>
            <w:div w:id="627051618">
              <w:marLeft w:val="0"/>
              <w:marRight w:val="0"/>
              <w:marTop w:val="0"/>
              <w:marBottom w:val="0"/>
              <w:divBdr>
                <w:top w:val="none" w:sz="0" w:space="0" w:color="auto"/>
                <w:left w:val="none" w:sz="0" w:space="0" w:color="auto"/>
                <w:bottom w:val="none" w:sz="0" w:space="0" w:color="auto"/>
                <w:right w:val="none" w:sz="0" w:space="0" w:color="auto"/>
              </w:divBdr>
              <w:divsChild>
                <w:div w:id="10997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63251">
      <w:bodyDiv w:val="1"/>
      <w:marLeft w:val="0"/>
      <w:marRight w:val="0"/>
      <w:marTop w:val="0"/>
      <w:marBottom w:val="0"/>
      <w:divBdr>
        <w:top w:val="none" w:sz="0" w:space="0" w:color="auto"/>
        <w:left w:val="none" w:sz="0" w:space="0" w:color="auto"/>
        <w:bottom w:val="none" w:sz="0" w:space="0" w:color="auto"/>
        <w:right w:val="none" w:sz="0" w:space="0" w:color="auto"/>
      </w:divBdr>
      <w:divsChild>
        <w:div w:id="1303660628">
          <w:marLeft w:val="0"/>
          <w:marRight w:val="0"/>
          <w:marTop w:val="0"/>
          <w:marBottom w:val="0"/>
          <w:divBdr>
            <w:top w:val="none" w:sz="0" w:space="0" w:color="auto"/>
            <w:left w:val="none" w:sz="0" w:space="0" w:color="auto"/>
            <w:bottom w:val="none" w:sz="0" w:space="0" w:color="auto"/>
            <w:right w:val="none" w:sz="0" w:space="0" w:color="auto"/>
          </w:divBdr>
          <w:divsChild>
            <w:div w:id="1542743547">
              <w:marLeft w:val="0"/>
              <w:marRight w:val="0"/>
              <w:marTop w:val="0"/>
              <w:marBottom w:val="0"/>
              <w:divBdr>
                <w:top w:val="none" w:sz="0" w:space="0" w:color="auto"/>
                <w:left w:val="none" w:sz="0" w:space="0" w:color="auto"/>
                <w:bottom w:val="none" w:sz="0" w:space="0" w:color="auto"/>
                <w:right w:val="none" w:sz="0" w:space="0" w:color="auto"/>
              </w:divBdr>
              <w:divsChild>
                <w:div w:id="1748111140">
                  <w:marLeft w:val="0"/>
                  <w:marRight w:val="0"/>
                  <w:marTop w:val="0"/>
                  <w:marBottom w:val="0"/>
                  <w:divBdr>
                    <w:top w:val="none" w:sz="0" w:space="0" w:color="auto"/>
                    <w:left w:val="none" w:sz="0" w:space="0" w:color="auto"/>
                    <w:bottom w:val="none" w:sz="0" w:space="0" w:color="auto"/>
                    <w:right w:val="none" w:sz="0" w:space="0" w:color="auto"/>
                  </w:divBdr>
                </w:div>
              </w:divsChild>
            </w:div>
            <w:div w:id="678236133">
              <w:marLeft w:val="0"/>
              <w:marRight w:val="0"/>
              <w:marTop w:val="0"/>
              <w:marBottom w:val="0"/>
              <w:divBdr>
                <w:top w:val="none" w:sz="0" w:space="0" w:color="auto"/>
                <w:left w:val="none" w:sz="0" w:space="0" w:color="auto"/>
                <w:bottom w:val="none" w:sz="0" w:space="0" w:color="auto"/>
                <w:right w:val="none" w:sz="0" w:space="0" w:color="auto"/>
              </w:divBdr>
              <w:divsChild>
                <w:div w:id="17320476">
                  <w:marLeft w:val="0"/>
                  <w:marRight w:val="0"/>
                  <w:marTop w:val="0"/>
                  <w:marBottom w:val="0"/>
                  <w:divBdr>
                    <w:top w:val="none" w:sz="0" w:space="0" w:color="auto"/>
                    <w:left w:val="none" w:sz="0" w:space="0" w:color="auto"/>
                    <w:bottom w:val="none" w:sz="0" w:space="0" w:color="auto"/>
                    <w:right w:val="none" w:sz="0" w:space="0" w:color="auto"/>
                  </w:divBdr>
                </w:div>
              </w:divsChild>
            </w:div>
            <w:div w:id="834298499">
              <w:marLeft w:val="0"/>
              <w:marRight w:val="0"/>
              <w:marTop w:val="0"/>
              <w:marBottom w:val="0"/>
              <w:divBdr>
                <w:top w:val="none" w:sz="0" w:space="0" w:color="auto"/>
                <w:left w:val="none" w:sz="0" w:space="0" w:color="auto"/>
                <w:bottom w:val="none" w:sz="0" w:space="0" w:color="auto"/>
                <w:right w:val="none" w:sz="0" w:space="0" w:color="auto"/>
              </w:divBdr>
              <w:divsChild>
                <w:div w:id="1577668555">
                  <w:marLeft w:val="0"/>
                  <w:marRight w:val="0"/>
                  <w:marTop w:val="0"/>
                  <w:marBottom w:val="0"/>
                  <w:divBdr>
                    <w:top w:val="none" w:sz="0" w:space="0" w:color="auto"/>
                    <w:left w:val="none" w:sz="0" w:space="0" w:color="auto"/>
                    <w:bottom w:val="none" w:sz="0" w:space="0" w:color="auto"/>
                    <w:right w:val="none" w:sz="0" w:space="0" w:color="auto"/>
                  </w:divBdr>
                </w:div>
              </w:divsChild>
            </w:div>
            <w:div w:id="1636334266">
              <w:marLeft w:val="0"/>
              <w:marRight w:val="0"/>
              <w:marTop w:val="0"/>
              <w:marBottom w:val="0"/>
              <w:divBdr>
                <w:top w:val="none" w:sz="0" w:space="0" w:color="auto"/>
                <w:left w:val="none" w:sz="0" w:space="0" w:color="auto"/>
                <w:bottom w:val="none" w:sz="0" w:space="0" w:color="auto"/>
                <w:right w:val="none" w:sz="0" w:space="0" w:color="auto"/>
              </w:divBdr>
              <w:divsChild>
                <w:div w:id="1652633202">
                  <w:marLeft w:val="0"/>
                  <w:marRight w:val="0"/>
                  <w:marTop w:val="0"/>
                  <w:marBottom w:val="0"/>
                  <w:divBdr>
                    <w:top w:val="none" w:sz="0" w:space="0" w:color="auto"/>
                    <w:left w:val="none" w:sz="0" w:space="0" w:color="auto"/>
                    <w:bottom w:val="none" w:sz="0" w:space="0" w:color="auto"/>
                    <w:right w:val="none" w:sz="0" w:space="0" w:color="auto"/>
                  </w:divBdr>
                </w:div>
              </w:divsChild>
            </w:div>
            <w:div w:id="1809662667">
              <w:marLeft w:val="0"/>
              <w:marRight w:val="0"/>
              <w:marTop w:val="0"/>
              <w:marBottom w:val="0"/>
              <w:divBdr>
                <w:top w:val="none" w:sz="0" w:space="0" w:color="auto"/>
                <w:left w:val="none" w:sz="0" w:space="0" w:color="auto"/>
                <w:bottom w:val="none" w:sz="0" w:space="0" w:color="auto"/>
                <w:right w:val="none" w:sz="0" w:space="0" w:color="auto"/>
              </w:divBdr>
              <w:divsChild>
                <w:div w:id="1355227054">
                  <w:marLeft w:val="0"/>
                  <w:marRight w:val="0"/>
                  <w:marTop w:val="0"/>
                  <w:marBottom w:val="0"/>
                  <w:divBdr>
                    <w:top w:val="none" w:sz="0" w:space="0" w:color="auto"/>
                    <w:left w:val="none" w:sz="0" w:space="0" w:color="auto"/>
                    <w:bottom w:val="none" w:sz="0" w:space="0" w:color="auto"/>
                    <w:right w:val="none" w:sz="0" w:space="0" w:color="auto"/>
                  </w:divBdr>
                </w:div>
              </w:divsChild>
            </w:div>
            <w:div w:id="847403308">
              <w:marLeft w:val="0"/>
              <w:marRight w:val="0"/>
              <w:marTop w:val="0"/>
              <w:marBottom w:val="0"/>
              <w:divBdr>
                <w:top w:val="none" w:sz="0" w:space="0" w:color="auto"/>
                <w:left w:val="none" w:sz="0" w:space="0" w:color="auto"/>
                <w:bottom w:val="none" w:sz="0" w:space="0" w:color="auto"/>
                <w:right w:val="none" w:sz="0" w:space="0" w:color="auto"/>
              </w:divBdr>
              <w:divsChild>
                <w:div w:id="272829292">
                  <w:marLeft w:val="0"/>
                  <w:marRight w:val="0"/>
                  <w:marTop w:val="0"/>
                  <w:marBottom w:val="0"/>
                  <w:divBdr>
                    <w:top w:val="none" w:sz="0" w:space="0" w:color="auto"/>
                    <w:left w:val="none" w:sz="0" w:space="0" w:color="auto"/>
                    <w:bottom w:val="none" w:sz="0" w:space="0" w:color="auto"/>
                    <w:right w:val="none" w:sz="0" w:space="0" w:color="auto"/>
                  </w:divBdr>
                </w:div>
              </w:divsChild>
            </w:div>
            <w:div w:id="1162962194">
              <w:marLeft w:val="0"/>
              <w:marRight w:val="0"/>
              <w:marTop w:val="0"/>
              <w:marBottom w:val="0"/>
              <w:divBdr>
                <w:top w:val="none" w:sz="0" w:space="0" w:color="auto"/>
                <w:left w:val="none" w:sz="0" w:space="0" w:color="auto"/>
                <w:bottom w:val="none" w:sz="0" w:space="0" w:color="auto"/>
                <w:right w:val="none" w:sz="0" w:space="0" w:color="auto"/>
              </w:divBdr>
              <w:divsChild>
                <w:div w:id="470438643">
                  <w:marLeft w:val="0"/>
                  <w:marRight w:val="0"/>
                  <w:marTop w:val="0"/>
                  <w:marBottom w:val="0"/>
                  <w:divBdr>
                    <w:top w:val="none" w:sz="0" w:space="0" w:color="auto"/>
                    <w:left w:val="none" w:sz="0" w:space="0" w:color="auto"/>
                    <w:bottom w:val="none" w:sz="0" w:space="0" w:color="auto"/>
                    <w:right w:val="none" w:sz="0" w:space="0" w:color="auto"/>
                  </w:divBdr>
                </w:div>
              </w:divsChild>
            </w:div>
            <w:div w:id="2072191164">
              <w:marLeft w:val="0"/>
              <w:marRight w:val="0"/>
              <w:marTop w:val="0"/>
              <w:marBottom w:val="0"/>
              <w:divBdr>
                <w:top w:val="none" w:sz="0" w:space="0" w:color="auto"/>
                <w:left w:val="none" w:sz="0" w:space="0" w:color="auto"/>
                <w:bottom w:val="none" w:sz="0" w:space="0" w:color="auto"/>
                <w:right w:val="none" w:sz="0" w:space="0" w:color="auto"/>
              </w:divBdr>
              <w:divsChild>
                <w:div w:id="373585084">
                  <w:marLeft w:val="0"/>
                  <w:marRight w:val="0"/>
                  <w:marTop w:val="0"/>
                  <w:marBottom w:val="0"/>
                  <w:divBdr>
                    <w:top w:val="none" w:sz="0" w:space="0" w:color="auto"/>
                    <w:left w:val="none" w:sz="0" w:space="0" w:color="auto"/>
                    <w:bottom w:val="none" w:sz="0" w:space="0" w:color="auto"/>
                    <w:right w:val="none" w:sz="0" w:space="0" w:color="auto"/>
                  </w:divBdr>
                </w:div>
              </w:divsChild>
            </w:div>
            <w:div w:id="232470500">
              <w:marLeft w:val="0"/>
              <w:marRight w:val="0"/>
              <w:marTop w:val="0"/>
              <w:marBottom w:val="0"/>
              <w:divBdr>
                <w:top w:val="none" w:sz="0" w:space="0" w:color="auto"/>
                <w:left w:val="none" w:sz="0" w:space="0" w:color="auto"/>
                <w:bottom w:val="none" w:sz="0" w:space="0" w:color="auto"/>
                <w:right w:val="none" w:sz="0" w:space="0" w:color="auto"/>
              </w:divBdr>
              <w:divsChild>
                <w:div w:id="1608853410">
                  <w:marLeft w:val="0"/>
                  <w:marRight w:val="0"/>
                  <w:marTop w:val="0"/>
                  <w:marBottom w:val="0"/>
                  <w:divBdr>
                    <w:top w:val="none" w:sz="0" w:space="0" w:color="auto"/>
                    <w:left w:val="none" w:sz="0" w:space="0" w:color="auto"/>
                    <w:bottom w:val="none" w:sz="0" w:space="0" w:color="auto"/>
                    <w:right w:val="none" w:sz="0" w:space="0" w:color="auto"/>
                  </w:divBdr>
                </w:div>
              </w:divsChild>
            </w:div>
            <w:div w:id="1525679292">
              <w:marLeft w:val="0"/>
              <w:marRight w:val="0"/>
              <w:marTop w:val="0"/>
              <w:marBottom w:val="0"/>
              <w:divBdr>
                <w:top w:val="none" w:sz="0" w:space="0" w:color="auto"/>
                <w:left w:val="none" w:sz="0" w:space="0" w:color="auto"/>
                <w:bottom w:val="none" w:sz="0" w:space="0" w:color="auto"/>
                <w:right w:val="none" w:sz="0" w:space="0" w:color="auto"/>
              </w:divBdr>
              <w:divsChild>
                <w:div w:id="1183395962">
                  <w:marLeft w:val="0"/>
                  <w:marRight w:val="0"/>
                  <w:marTop w:val="0"/>
                  <w:marBottom w:val="0"/>
                  <w:divBdr>
                    <w:top w:val="none" w:sz="0" w:space="0" w:color="auto"/>
                    <w:left w:val="none" w:sz="0" w:space="0" w:color="auto"/>
                    <w:bottom w:val="none" w:sz="0" w:space="0" w:color="auto"/>
                    <w:right w:val="none" w:sz="0" w:space="0" w:color="auto"/>
                  </w:divBdr>
                </w:div>
              </w:divsChild>
            </w:div>
            <w:div w:id="1941449442">
              <w:marLeft w:val="0"/>
              <w:marRight w:val="0"/>
              <w:marTop w:val="0"/>
              <w:marBottom w:val="0"/>
              <w:divBdr>
                <w:top w:val="none" w:sz="0" w:space="0" w:color="auto"/>
                <w:left w:val="none" w:sz="0" w:space="0" w:color="auto"/>
                <w:bottom w:val="none" w:sz="0" w:space="0" w:color="auto"/>
                <w:right w:val="none" w:sz="0" w:space="0" w:color="auto"/>
              </w:divBdr>
              <w:divsChild>
                <w:div w:id="646983132">
                  <w:marLeft w:val="0"/>
                  <w:marRight w:val="0"/>
                  <w:marTop w:val="0"/>
                  <w:marBottom w:val="0"/>
                  <w:divBdr>
                    <w:top w:val="none" w:sz="0" w:space="0" w:color="auto"/>
                    <w:left w:val="none" w:sz="0" w:space="0" w:color="auto"/>
                    <w:bottom w:val="none" w:sz="0" w:space="0" w:color="auto"/>
                    <w:right w:val="none" w:sz="0" w:space="0" w:color="auto"/>
                  </w:divBdr>
                </w:div>
              </w:divsChild>
            </w:div>
            <w:div w:id="1609004707">
              <w:marLeft w:val="0"/>
              <w:marRight w:val="0"/>
              <w:marTop w:val="0"/>
              <w:marBottom w:val="0"/>
              <w:divBdr>
                <w:top w:val="none" w:sz="0" w:space="0" w:color="auto"/>
                <w:left w:val="none" w:sz="0" w:space="0" w:color="auto"/>
                <w:bottom w:val="none" w:sz="0" w:space="0" w:color="auto"/>
                <w:right w:val="none" w:sz="0" w:space="0" w:color="auto"/>
              </w:divBdr>
              <w:divsChild>
                <w:div w:id="1015033925">
                  <w:marLeft w:val="0"/>
                  <w:marRight w:val="0"/>
                  <w:marTop w:val="0"/>
                  <w:marBottom w:val="0"/>
                  <w:divBdr>
                    <w:top w:val="none" w:sz="0" w:space="0" w:color="auto"/>
                    <w:left w:val="none" w:sz="0" w:space="0" w:color="auto"/>
                    <w:bottom w:val="none" w:sz="0" w:space="0" w:color="auto"/>
                    <w:right w:val="none" w:sz="0" w:space="0" w:color="auto"/>
                  </w:divBdr>
                </w:div>
              </w:divsChild>
            </w:div>
            <w:div w:id="916400962">
              <w:marLeft w:val="0"/>
              <w:marRight w:val="0"/>
              <w:marTop w:val="0"/>
              <w:marBottom w:val="0"/>
              <w:divBdr>
                <w:top w:val="none" w:sz="0" w:space="0" w:color="auto"/>
                <w:left w:val="none" w:sz="0" w:space="0" w:color="auto"/>
                <w:bottom w:val="none" w:sz="0" w:space="0" w:color="auto"/>
                <w:right w:val="none" w:sz="0" w:space="0" w:color="auto"/>
              </w:divBdr>
              <w:divsChild>
                <w:div w:id="1949046243">
                  <w:marLeft w:val="0"/>
                  <w:marRight w:val="0"/>
                  <w:marTop w:val="0"/>
                  <w:marBottom w:val="0"/>
                  <w:divBdr>
                    <w:top w:val="none" w:sz="0" w:space="0" w:color="auto"/>
                    <w:left w:val="none" w:sz="0" w:space="0" w:color="auto"/>
                    <w:bottom w:val="none" w:sz="0" w:space="0" w:color="auto"/>
                    <w:right w:val="none" w:sz="0" w:space="0" w:color="auto"/>
                  </w:divBdr>
                </w:div>
              </w:divsChild>
            </w:div>
            <w:div w:id="1960838306">
              <w:marLeft w:val="0"/>
              <w:marRight w:val="0"/>
              <w:marTop w:val="0"/>
              <w:marBottom w:val="0"/>
              <w:divBdr>
                <w:top w:val="none" w:sz="0" w:space="0" w:color="auto"/>
                <w:left w:val="none" w:sz="0" w:space="0" w:color="auto"/>
                <w:bottom w:val="none" w:sz="0" w:space="0" w:color="auto"/>
                <w:right w:val="none" w:sz="0" w:space="0" w:color="auto"/>
              </w:divBdr>
              <w:divsChild>
                <w:div w:id="3037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Annual Dividend Payment</c:v>
                </c:pt>
              </c:strCache>
            </c:strRef>
          </c:tx>
          <c:spPr>
            <a:solidFill>
              <a:schemeClr val="accent1"/>
            </a:solidFill>
            <a:ln>
              <a:noFill/>
            </a:ln>
            <a:effectLst/>
          </c:spPr>
          <c:invertIfNegative val="0"/>
          <c:cat>
            <c:numRef>
              <c:f>Sheet1!$A$4:$A$9</c:f>
              <c:numCache>
                <c:formatCode>General</c:formatCode>
                <c:ptCount val="6"/>
                <c:pt idx="0">
                  <c:v>2014</c:v>
                </c:pt>
                <c:pt idx="1">
                  <c:v>2015</c:v>
                </c:pt>
                <c:pt idx="2">
                  <c:v>2016</c:v>
                </c:pt>
                <c:pt idx="3">
                  <c:v>2017</c:v>
                </c:pt>
                <c:pt idx="4">
                  <c:v>2018</c:v>
                </c:pt>
                <c:pt idx="5">
                  <c:v>2019</c:v>
                </c:pt>
              </c:numCache>
            </c:numRef>
          </c:cat>
          <c:val>
            <c:numRef>
              <c:f>Sheet1!$B$4:$B$9</c:f>
              <c:numCache>
                <c:formatCode>"$"#,##0.00</c:formatCode>
                <c:ptCount val="6"/>
                <c:pt idx="0">
                  <c:v>0.78</c:v>
                </c:pt>
                <c:pt idx="1">
                  <c:v>0.8</c:v>
                </c:pt>
                <c:pt idx="2">
                  <c:v>0.81</c:v>
                </c:pt>
                <c:pt idx="3">
                  <c:v>0.84</c:v>
                </c:pt>
                <c:pt idx="4">
                  <c:v>0.85</c:v>
                </c:pt>
                <c:pt idx="5">
                  <c:v>0.88</c:v>
                </c:pt>
              </c:numCache>
            </c:numRef>
          </c:val>
          <c:extLst>
            <c:ext xmlns:c16="http://schemas.microsoft.com/office/drawing/2014/chart" uri="{C3380CC4-5D6E-409C-BE32-E72D297353CC}">
              <c16:uniqueId val="{00000000-287B-43C6-8A2E-ADFCF09169B5}"/>
            </c:ext>
          </c:extLst>
        </c:ser>
        <c:dLbls>
          <c:showLegendKey val="0"/>
          <c:showVal val="0"/>
          <c:showCatName val="0"/>
          <c:showSerName val="0"/>
          <c:showPercent val="0"/>
          <c:showBubbleSize val="0"/>
        </c:dLbls>
        <c:gapWidth val="219"/>
        <c:overlap val="-27"/>
        <c:axId val="514264000"/>
        <c:axId val="514265968"/>
      </c:barChart>
      <c:catAx>
        <c:axId val="5142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265968"/>
        <c:crosses val="autoZero"/>
        <c:auto val="1"/>
        <c:lblAlgn val="ctr"/>
        <c:lblOffset val="100"/>
        <c:noMultiLvlLbl val="0"/>
      </c:catAx>
      <c:valAx>
        <c:axId val="51426596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264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8E05-052D-4F7E-B670-668A508A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Marshal J</dc:creator>
  <cp:keywords/>
  <dc:description/>
  <cp:lastModifiedBy>Wick, Nathan R</cp:lastModifiedBy>
  <cp:revision>111</cp:revision>
  <dcterms:created xsi:type="dcterms:W3CDTF">2019-12-07T04:35:00Z</dcterms:created>
  <dcterms:modified xsi:type="dcterms:W3CDTF">2019-12-13T01:27:00Z</dcterms:modified>
</cp:coreProperties>
</file>