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F22" w:rsidRDefault="00EC1D80">
      <w:pPr>
        <w:rPr>
          <w:rFonts w:ascii="Times New Roman" w:eastAsia="Times New Roman" w:hAnsi="Times New Roman" w:cs="Times New Roman"/>
          <w:sz w:val="24"/>
          <w:szCs w:val="24"/>
        </w:rPr>
      </w:pPr>
      <w:r>
        <w:rPr>
          <w:rFonts w:ascii="Times New Roman" w:eastAsia="Times New Roman" w:hAnsi="Times New Roman" w:cs="Times New Roman"/>
          <w:sz w:val="24"/>
          <w:szCs w:val="24"/>
        </w:rPr>
        <w:t>Lorraine Christianson</w:t>
      </w:r>
    </w:p>
    <w:p w:rsidR="00527F22" w:rsidRDefault="00EC1D80">
      <w:pPr>
        <w:rPr>
          <w:rFonts w:ascii="Times New Roman" w:eastAsia="Times New Roman" w:hAnsi="Times New Roman" w:cs="Times New Roman"/>
          <w:sz w:val="24"/>
          <w:szCs w:val="24"/>
        </w:rPr>
      </w:pPr>
      <w:r>
        <w:rPr>
          <w:rFonts w:ascii="Times New Roman" w:eastAsia="Times New Roman" w:hAnsi="Times New Roman" w:cs="Times New Roman"/>
          <w:sz w:val="24"/>
          <w:szCs w:val="24"/>
        </w:rPr>
        <w:t>Xin Zhou</w:t>
      </w:r>
    </w:p>
    <w:p w:rsidR="00527F22" w:rsidRDefault="00527F22">
      <w:pPr>
        <w:rPr>
          <w:rFonts w:ascii="Times New Roman" w:eastAsia="Times New Roman" w:hAnsi="Times New Roman" w:cs="Times New Roman"/>
          <w:sz w:val="24"/>
          <w:szCs w:val="24"/>
        </w:rPr>
      </w:pPr>
    </w:p>
    <w:p w:rsidR="00527F22" w:rsidRDefault="00EC1D80">
      <w:pPr>
        <w:jc w:val="center"/>
        <w:rPr>
          <w:rFonts w:ascii="Times New Roman" w:eastAsia="Times New Roman" w:hAnsi="Times New Roman" w:cs="Times New Roman"/>
          <w:b/>
          <w:sz w:val="24"/>
          <w:szCs w:val="24"/>
          <w:u w:val="single"/>
        </w:rPr>
      </w:pPr>
      <w:bookmarkStart w:id="0" w:name="_GoBack"/>
      <w:proofErr w:type="spellStart"/>
      <w:r>
        <w:rPr>
          <w:rFonts w:ascii="Times New Roman" w:eastAsia="Times New Roman" w:hAnsi="Times New Roman" w:cs="Times New Roman"/>
          <w:b/>
          <w:sz w:val="24"/>
          <w:szCs w:val="24"/>
          <w:u w:val="single"/>
        </w:rPr>
        <w:t>NeoPhotonics</w:t>
      </w:r>
      <w:proofErr w:type="spellEnd"/>
    </w:p>
    <w:bookmarkEnd w:id="0"/>
    <w:p w:rsidR="00527F22" w:rsidRDefault="00527F22">
      <w:pPr>
        <w:rPr>
          <w:rFonts w:ascii="Times New Roman" w:eastAsia="Times New Roman" w:hAnsi="Times New Roman" w:cs="Times New Roman"/>
          <w:sz w:val="24"/>
          <w:szCs w:val="24"/>
        </w:rPr>
      </w:pPr>
    </w:p>
    <w:p w:rsidR="00527F22" w:rsidRDefault="00EC1D8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Company Snapshot:</w:t>
      </w:r>
    </w:p>
    <w:p w:rsidR="00527F22" w:rsidRDefault="00EC1D8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NeoPhotonics</w:t>
      </w:r>
      <w:proofErr w:type="spellEnd"/>
      <w:r>
        <w:rPr>
          <w:rFonts w:ascii="Times New Roman" w:eastAsia="Times New Roman" w:hAnsi="Times New Roman" w:cs="Times New Roman"/>
          <w:sz w:val="24"/>
          <w:szCs w:val="24"/>
        </w:rPr>
        <w:t xml:space="preserve"> is traded on the New York Stock Exchange as </w:t>
      </w:r>
      <w:proofErr w:type="spellStart"/>
      <w:r>
        <w:rPr>
          <w:rFonts w:ascii="Times New Roman" w:eastAsia="Times New Roman" w:hAnsi="Times New Roman" w:cs="Times New Roman"/>
          <w:sz w:val="24"/>
          <w:szCs w:val="24"/>
        </w:rPr>
        <w:t>NPTN</w:t>
      </w:r>
      <w:proofErr w:type="spellEnd"/>
      <w:r>
        <w:rPr>
          <w:rFonts w:ascii="Times New Roman" w:eastAsia="Times New Roman" w:hAnsi="Times New Roman" w:cs="Times New Roman"/>
          <w:sz w:val="24"/>
          <w:szCs w:val="24"/>
        </w:rPr>
        <w:t>. The company is part of the Information Technology sector and the semiconductor and semiconductor equipment industry. The stock was trading at $9.17 on Mar. 19 2017.  There are 42.32 million sha</w:t>
      </w:r>
      <w:r>
        <w:rPr>
          <w:rFonts w:ascii="Times New Roman" w:eastAsia="Times New Roman" w:hAnsi="Times New Roman" w:cs="Times New Roman"/>
          <w:sz w:val="24"/>
          <w:szCs w:val="24"/>
        </w:rPr>
        <w:t xml:space="preserve">res outstanding with market capitalization of $388.11 M. </w:t>
      </w:r>
    </w:p>
    <w:p w:rsidR="00527F22" w:rsidRDefault="00527F22">
      <w:pPr>
        <w:rPr>
          <w:rFonts w:ascii="Times New Roman" w:eastAsia="Times New Roman" w:hAnsi="Times New Roman" w:cs="Times New Roman"/>
          <w:sz w:val="24"/>
          <w:szCs w:val="24"/>
        </w:rPr>
      </w:pPr>
    </w:p>
    <w:p w:rsidR="00527F22" w:rsidRDefault="00EC1D80">
      <w:pPr>
        <w:rPr>
          <w:rFonts w:ascii="Times New Roman" w:eastAsia="Times New Roman" w:hAnsi="Times New Roman" w:cs="Times New Roman"/>
          <w:sz w:val="24"/>
          <w:szCs w:val="24"/>
        </w:rPr>
      </w:pPr>
      <w:r>
        <w:rPr>
          <w:rFonts w:ascii="Times New Roman" w:eastAsia="Times New Roman" w:hAnsi="Times New Roman" w:cs="Times New Roman"/>
          <w:sz w:val="24"/>
          <w:szCs w:val="24"/>
        </w:rPr>
        <w:t>Major shareholders:</w:t>
      </w:r>
    </w:p>
    <w:p w:rsidR="00527F22" w:rsidRDefault="00EC1D80">
      <w:pPr>
        <w:rPr>
          <w:rFonts w:ascii="Times New Roman" w:eastAsia="Times New Roman" w:hAnsi="Times New Roman" w:cs="Times New Roman"/>
          <w:sz w:val="24"/>
          <w:szCs w:val="24"/>
        </w:rPr>
      </w:pPr>
      <w:r>
        <w:rPr>
          <w:rFonts w:ascii="Times New Roman" w:eastAsia="Times New Roman" w:hAnsi="Times New Roman" w:cs="Times New Roman"/>
          <w:sz w:val="24"/>
          <w:szCs w:val="24"/>
        </w:rPr>
        <w:t>30.55% shares held by insider and 5% owners</w:t>
      </w:r>
    </w:p>
    <w:p w:rsidR="00527F22" w:rsidRDefault="00EC1D80">
      <w:pPr>
        <w:rPr>
          <w:rFonts w:ascii="Times New Roman" w:eastAsia="Times New Roman" w:hAnsi="Times New Roman" w:cs="Times New Roman"/>
          <w:sz w:val="24"/>
          <w:szCs w:val="24"/>
        </w:rPr>
      </w:pPr>
      <w:r>
        <w:rPr>
          <w:rFonts w:ascii="Times New Roman" w:eastAsia="Times New Roman" w:hAnsi="Times New Roman" w:cs="Times New Roman"/>
          <w:sz w:val="24"/>
          <w:szCs w:val="24"/>
        </w:rPr>
        <w:t>57.5% of shares held by institutional &amp; mutual fund owners</w:t>
      </w:r>
    </w:p>
    <w:p w:rsidR="00527F22" w:rsidRDefault="00527F22">
      <w:pPr>
        <w:rPr>
          <w:rFonts w:ascii="Times New Roman" w:eastAsia="Times New Roman" w:hAnsi="Times New Roman" w:cs="Times New Roman"/>
          <w:sz w:val="24"/>
          <w:szCs w:val="24"/>
        </w:rPr>
      </w:pPr>
    </w:p>
    <w:p w:rsidR="00527F22" w:rsidRDefault="00EC1D80">
      <w:pPr>
        <w:rPr>
          <w:rFonts w:ascii="Times New Roman" w:eastAsia="Times New Roman" w:hAnsi="Times New Roman" w:cs="Times New Roman"/>
          <w:sz w:val="24"/>
          <w:szCs w:val="24"/>
        </w:rPr>
      </w:pPr>
      <w:r>
        <w:rPr>
          <w:rFonts w:ascii="Times New Roman" w:eastAsia="Times New Roman" w:hAnsi="Times New Roman" w:cs="Times New Roman"/>
          <w:sz w:val="24"/>
          <w:szCs w:val="24"/>
        </w:rPr>
        <w:t>Top Institutional holders:</w:t>
      </w:r>
    </w:p>
    <w:p w:rsidR="00527F22" w:rsidRDefault="00EC1D80">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Oak Management Corp                           </w:t>
      </w:r>
      <w:r>
        <w:rPr>
          <w:rFonts w:ascii="Times New Roman" w:eastAsia="Times New Roman" w:hAnsi="Times New Roman" w:cs="Times New Roman"/>
          <w:sz w:val="24"/>
          <w:szCs w:val="24"/>
        </w:rPr>
        <w:t xml:space="preserve">          5,571,335 shares      13.16% </w:t>
      </w:r>
    </w:p>
    <w:p w:rsidR="00527F22" w:rsidRDefault="00EC1D80">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Dimensional Fund Advisors LP                         2,611,828 shares         6.17%</w:t>
      </w:r>
    </w:p>
    <w:p w:rsidR="00527F22" w:rsidRDefault="00EC1D80">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Wellington Management </w:t>
      </w:r>
      <w:proofErr w:type="spellStart"/>
      <w:r>
        <w:rPr>
          <w:rFonts w:ascii="Times New Roman" w:eastAsia="Times New Roman" w:hAnsi="Times New Roman" w:cs="Times New Roman"/>
          <w:sz w:val="24"/>
          <w:szCs w:val="24"/>
        </w:rPr>
        <w:t>Company,LLP</w:t>
      </w:r>
      <w:proofErr w:type="spellEnd"/>
      <w:r>
        <w:rPr>
          <w:rFonts w:ascii="Times New Roman" w:eastAsia="Times New Roman" w:hAnsi="Times New Roman" w:cs="Times New Roman"/>
          <w:sz w:val="24"/>
          <w:szCs w:val="24"/>
        </w:rPr>
        <w:t xml:space="preserve">            2,326,554 shares         5.50%</w:t>
      </w:r>
    </w:p>
    <w:p w:rsidR="00527F22" w:rsidRDefault="00EC1D80">
      <w:pPr>
        <w:numPr>
          <w:ilvl w:val="0"/>
          <w:numId w:val="4"/>
        </w:numPr>
        <w:ind w:hanging="36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AWM</w:t>
      </w:r>
      <w:proofErr w:type="spellEnd"/>
      <w:r>
        <w:rPr>
          <w:rFonts w:ascii="Times New Roman" w:eastAsia="Times New Roman" w:hAnsi="Times New Roman" w:cs="Times New Roman"/>
          <w:sz w:val="24"/>
          <w:szCs w:val="24"/>
        </w:rPr>
        <w:t xml:space="preserve"> Investment Company, LLP                      1,833,5</w:t>
      </w:r>
      <w:r>
        <w:rPr>
          <w:rFonts w:ascii="Times New Roman" w:eastAsia="Times New Roman" w:hAnsi="Times New Roman" w:cs="Times New Roman"/>
          <w:sz w:val="24"/>
          <w:szCs w:val="24"/>
        </w:rPr>
        <w:t>38 shares         4.33%</w:t>
      </w:r>
    </w:p>
    <w:p w:rsidR="00527F22" w:rsidRDefault="00EC1D80">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Vanguard Group, Inc.                                        1,793,287 shares         4.24%</w:t>
      </w:r>
    </w:p>
    <w:p w:rsidR="00527F22" w:rsidRDefault="00527F22">
      <w:pPr>
        <w:rPr>
          <w:rFonts w:ascii="Times New Roman" w:eastAsia="Times New Roman" w:hAnsi="Times New Roman" w:cs="Times New Roman"/>
          <w:sz w:val="24"/>
          <w:szCs w:val="24"/>
        </w:rPr>
      </w:pPr>
    </w:p>
    <w:p w:rsidR="00527F22" w:rsidRDefault="00EC1D80">
      <w:pPr>
        <w:rPr>
          <w:rFonts w:ascii="Times New Roman" w:eastAsia="Times New Roman" w:hAnsi="Times New Roman" w:cs="Times New Roman"/>
          <w:sz w:val="24"/>
          <w:szCs w:val="24"/>
        </w:rPr>
      </w:pPr>
      <w:r>
        <w:rPr>
          <w:rFonts w:ascii="Times New Roman" w:eastAsia="Times New Roman" w:hAnsi="Times New Roman" w:cs="Times New Roman"/>
          <w:sz w:val="24"/>
          <w:szCs w:val="24"/>
        </w:rPr>
        <w:t>Direct Holders:</w:t>
      </w:r>
    </w:p>
    <w:p w:rsidR="00527F22" w:rsidRDefault="00EC1D80">
      <w:pPr>
        <w:numPr>
          <w:ilvl w:val="0"/>
          <w:numId w:val="1"/>
        </w:numPr>
        <w:ind w:hanging="36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Carano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Bandel</w:t>
      </w:r>
      <w:proofErr w:type="spellEnd"/>
      <w:r>
        <w:rPr>
          <w:rFonts w:ascii="Times New Roman" w:eastAsia="Times New Roman" w:hAnsi="Times New Roman" w:cs="Times New Roman"/>
          <w:sz w:val="24"/>
          <w:szCs w:val="24"/>
        </w:rPr>
        <w:t xml:space="preserve"> L (Managing Partner of Oak Investment team)         5,470,780 shares </w:t>
      </w:r>
    </w:p>
    <w:p w:rsidR="00527F22" w:rsidRDefault="00EC1D80">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Jenks Timothy Storrs (President &amp; CEO)  </w:t>
      </w:r>
      <w:r>
        <w:rPr>
          <w:rFonts w:ascii="Times New Roman" w:eastAsia="Times New Roman" w:hAnsi="Times New Roman" w:cs="Times New Roman"/>
          <w:sz w:val="24"/>
          <w:szCs w:val="24"/>
        </w:rPr>
        <w:t xml:space="preserve">                                            176,157 shares </w:t>
      </w:r>
    </w:p>
    <w:p w:rsidR="00527F22" w:rsidRDefault="00EC1D80">
      <w:pPr>
        <w:numPr>
          <w:ilvl w:val="0"/>
          <w:numId w:val="1"/>
        </w:numPr>
        <w:ind w:hanging="36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Sitler</w:t>
      </w:r>
      <w:proofErr w:type="spellEnd"/>
      <w:r>
        <w:rPr>
          <w:rFonts w:ascii="Times New Roman" w:eastAsia="Times New Roman" w:hAnsi="Times New Roman" w:cs="Times New Roman"/>
          <w:sz w:val="24"/>
          <w:szCs w:val="24"/>
        </w:rPr>
        <w:t xml:space="preserve"> Benjamin Lee (Vice President of Global sale)                                75,894 shares</w:t>
      </w:r>
    </w:p>
    <w:p w:rsidR="00527F22" w:rsidRDefault="00EC1D80">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Abbe Charles J (Independent director)                                                    59,431 sha</w:t>
      </w:r>
      <w:r>
        <w:rPr>
          <w:rFonts w:ascii="Times New Roman" w:eastAsia="Times New Roman" w:hAnsi="Times New Roman" w:cs="Times New Roman"/>
          <w:sz w:val="24"/>
          <w:szCs w:val="24"/>
        </w:rPr>
        <w:t>res</w:t>
      </w:r>
    </w:p>
    <w:p w:rsidR="00527F22" w:rsidRDefault="00EC1D80">
      <w:pPr>
        <w:numPr>
          <w:ilvl w:val="0"/>
          <w:numId w:val="1"/>
        </w:numPr>
        <w:ind w:hanging="36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Wupen</w:t>
      </w:r>
      <w:proofErr w:type="spellEnd"/>
      <w:r>
        <w:rPr>
          <w:rFonts w:ascii="Times New Roman" w:eastAsia="Times New Roman" w:hAnsi="Times New Roman" w:cs="Times New Roman"/>
          <w:sz w:val="24"/>
          <w:szCs w:val="24"/>
        </w:rPr>
        <w:t xml:space="preserve"> Yuen (Vice President and General Manager)                              21,908 shares</w:t>
      </w:r>
    </w:p>
    <w:p w:rsidR="00527F22" w:rsidRDefault="00527F22">
      <w:pPr>
        <w:rPr>
          <w:rFonts w:ascii="Times New Roman" w:eastAsia="Times New Roman" w:hAnsi="Times New Roman" w:cs="Times New Roman"/>
          <w:sz w:val="24"/>
          <w:szCs w:val="24"/>
        </w:rPr>
      </w:pPr>
    </w:p>
    <w:p w:rsidR="00527F22" w:rsidRDefault="00EC1D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recommendation is to buy or hold stock in </w:t>
      </w:r>
      <w:proofErr w:type="spellStart"/>
      <w:r>
        <w:rPr>
          <w:rFonts w:ascii="Times New Roman" w:eastAsia="Times New Roman" w:hAnsi="Times New Roman" w:cs="Times New Roman"/>
          <w:sz w:val="24"/>
          <w:szCs w:val="24"/>
        </w:rPr>
        <w:t>NeoPhotonics</w:t>
      </w:r>
      <w:proofErr w:type="spellEnd"/>
      <w:r>
        <w:rPr>
          <w:rFonts w:ascii="Times New Roman" w:eastAsia="Times New Roman" w:hAnsi="Times New Roman" w:cs="Times New Roman"/>
          <w:sz w:val="24"/>
          <w:szCs w:val="24"/>
        </w:rPr>
        <w:t xml:space="preserve">.  The following analysis will explain our decision.  </w:t>
      </w:r>
    </w:p>
    <w:p w:rsidR="00527F22" w:rsidRDefault="00527F22">
      <w:pPr>
        <w:rPr>
          <w:rFonts w:ascii="Times New Roman" w:eastAsia="Times New Roman" w:hAnsi="Times New Roman" w:cs="Times New Roman"/>
          <w:sz w:val="24"/>
          <w:szCs w:val="24"/>
        </w:rPr>
      </w:pPr>
    </w:p>
    <w:p w:rsidR="00527F22" w:rsidRDefault="00EC1D8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Business Description:</w:t>
      </w:r>
    </w:p>
    <w:p w:rsidR="00527F22" w:rsidRDefault="00EC1D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Understanding what </w:t>
      </w:r>
      <w:proofErr w:type="spellStart"/>
      <w:r>
        <w:rPr>
          <w:rFonts w:ascii="Times New Roman" w:eastAsia="Times New Roman" w:hAnsi="Times New Roman" w:cs="Times New Roman"/>
          <w:sz w:val="24"/>
          <w:szCs w:val="24"/>
        </w:rPr>
        <w:t>Neophotonics</w:t>
      </w:r>
      <w:proofErr w:type="spellEnd"/>
      <w:r>
        <w:rPr>
          <w:rFonts w:ascii="Times New Roman" w:eastAsia="Times New Roman" w:hAnsi="Times New Roman" w:cs="Times New Roman"/>
          <w:sz w:val="24"/>
          <w:szCs w:val="24"/>
        </w:rPr>
        <w:t xml:space="preserve"> does is a lot to comprehend.  Basically,  they use light and electricity to increase bandwidth.  Other companies buy their products so that when they are running their internet sites,  whether that be business or commercial </w:t>
      </w:r>
      <w:r>
        <w:rPr>
          <w:rFonts w:ascii="Times New Roman" w:eastAsia="Times New Roman" w:hAnsi="Times New Roman" w:cs="Times New Roman"/>
          <w:sz w:val="24"/>
          <w:szCs w:val="24"/>
        </w:rPr>
        <w:t>sites, they can accurately handle high volumes of traffic.  For example, if everyone was trying to stream a particular football game from the internet and the site hosting the game wasn’t properly prepared with the correct bandwidth capabilities the site w</w:t>
      </w:r>
      <w:r>
        <w:rPr>
          <w:rFonts w:ascii="Times New Roman" w:eastAsia="Times New Roman" w:hAnsi="Times New Roman" w:cs="Times New Roman"/>
          <w:sz w:val="24"/>
          <w:szCs w:val="24"/>
        </w:rPr>
        <w:t xml:space="preserve">ould crash and no one would get to watch the game.  If no one is able to watch the game then the company doesn’t make any money.  This example is </w:t>
      </w:r>
      <w:r>
        <w:rPr>
          <w:rFonts w:ascii="Times New Roman" w:eastAsia="Times New Roman" w:hAnsi="Times New Roman" w:cs="Times New Roman"/>
          <w:sz w:val="24"/>
          <w:szCs w:val="24"/>
        </w:rPr>
        <w:lastRenderedPageBreak/>
        <w:t>off topic but it will help readers to grasp the concept of bandwidth.  A harder concept to grasp is how the co</w:t>
      </w:r>
      <w:r>
        <w:rPr>
          <w:rFonts w:ascii="Times New Roman" w:eastAsia="Times New Roman" w:hAnsi="Times New Roman" w:cs="Times New Roman"/>
          <w:sz w:val="24"/>
          <w:szCs w:val="24"/>
        </w:rPr>
        <w:t xml:space="preserve">mpany uses electricity and light to create these bandwidth capabilities.  In simple terms, light can be reflected easily and quickly.  The shape of light allows a vast amount of information to be transmitted off all of the different angles that light has. </w:t>
      </w:r>
      <w:r>
        <w:rPr>
          <w:rFonts w:ascii="Times New Roman" w:eastAsia="Times New Roman" w:hAnsi="Times New Roman" w:cs="Times New Roman"/>
          <w:sz w:val="24"/>
          <w:szCs w:val="24"/>
        </w:rPr>
        <w:t xml:space="preserve"> Using light is much quicker and more efficient that using electricity.  Currently systems use both electricity and light to function. Eventually all light (optical) technology will probably replace electrical technology. </w:t>
      </w:r>
      <w:proofErr w:type="spellStart"/>
      <w:r>
        <w:rPr>
          <w:rFonts w:ascii="Times New Roman" w:eastAsia="Times New Roman" w:hAnsi="Times New Roman" w:cs="Times New Roman"/>
          <w:sz w:val="24"/>
          <w:szCs w:val="24"/>
        </w:rPr>
        <w:t>NeoPhotonics</w:t>
      </w:r>
      <w:proofErr w:type="spellEnd"/>
      <w:r>
        <w:rPr>
          <w:rFonts w:ascii="Times New Roman" w:eastAsia="Times New Roman" w:hAnsi="Times New Roman" w:cs="Times New Roman"/>
          <w:sz w:val="24"/>
          <w:szCs w:val="24"/>
        </w:rPr>
        <w:t xml:space="preserve"> research and developm</w:t>
      </w:r>
      <w:r>
        <w:rPr>
          <w:rFonts w:ascii="Times New Roman" w:eastAsia="Times New Roman" w:hAnsi="Times New Roman" w:cs="Times New Roman"/>
          <w:sz w:val="24"/>
          <w:szCs w:val="24"/>
        </w:rPr>
        <w:t>ent activities continue to push the performance leadership boundaries in high speed digital optics, hybrid optical integration, optoelectronics control and in signal processing.</w:t>
      </w:r>
    </w:p>
    <w:p w:rsidR="00527F22" w:rsidRDefault="00527F22">
      <w:pPr>
        <w:rPr>
          <w:rFonts w:ascii="Times New Roman" w:eastAsia="Times New Roman" w:hAnsi="Times New Roman" w:cs="Times New Roman"/>
          <w:sz w:val="24"/>
          <w:szCs w:val="24"/>
        </w:rPr>
      </w:pPr>
    </w:p>
    <w:p w:rsidR="00527F22" w:rsidRDefault="00EC1D8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NeoPhotonics</w:t>
      </w:r>
      <w:proofErr w:type="spellEnd"/>
      <w:r>
        <w:rPr>
          <w:rFonts w:ascii="Times New Roman" w:eastAsia="Times New Roman" w:hAnsi="Times New Roman" w:cs="Times New Roman"/>
          <w:sz w:val="24"/>
          <w:szCs w:val="24"/>
        </w:rPr>
        <w:t xml:space="preserve"> has research and development facilities in Dongguan, Shenzhen an</w:t>
      </w:r>
      <w:r>
        <w:rPr>
          <w:rFonts w:ascii="Times New Roman" w:eastAsia="Times New Roman" w:hAnsi="Times New Roman" w:cs="Times New Roman"/>
          <w:sz w:val="24"/>
          <w:szCs w:val="24"/>
        </w:rPr>
        <w:t xml:space="preserve">d Wuhan, China, Ottawa, Canada, and Moscow, Russia.  These facilities coordinate with the wafer fabrication facilities in San Jose and Fremont, California and in Tokyo, Japan.  </w:t>
      </w:r>
      <w:proofErr w:type="spellStart"/>
      <w:r>
        <w:rPr>
          <w:rFonts w:ascii="Times New Roman" w:eastAsia="Times New Roman" w:hAnsi="Times New Roman" w:cs="Times New Roman"/>
          <w:sz w:val="24"/>
          <w:szCs w:val="24"/>
        </w:rPr>
        <w:t>NeoPhotonics</w:t>
      </w:r>
      <w:proofErr w:type="spellEnd"/>
      <w:r>
        <w:rPr>
          <w:rFonts w:ascii="Times New Roman" w:eastAsia="Times New Roman" w:hAnsi="Times New Roman" w:cs="Times New Roman"/>
          <w:sz w:val="24"/>
          <w:szCs w:val="24"/>
        </w:rPr>
        <w:t xml:space="preserve"> is a vertically integrated company.  They use proprietary design t</w:t>
      </w:r>
      <w:r>
        <w:rPr>
          <w:rFonts w:ascii="Times New Roman" w:eastAsia="Times New Roman" w:hAnsi="Times New Roman" w:cs="Times New Roman"/>
          <w:sz w:val="24"/>
          <w:szCs w:val="24"/>
        </w:rPr>
        <w:t>ools and design-for-manufacturing techniques to align their design process. They are we are one of the highest volume Photonic Integrated Circuit, or PIC, manufacturers in the world and have the ability to expand their  manufacturing capacity to meet marke</w:t>
      </w:r>
      <w:r>
        <w:rPr>
          <w:rFonts w:ascii="Times New Roman" w:eastAsia="Times New Roman" w:hAnsi="Times New Roman" w:cs="Times New Roman"/>
          <w:sz w:val="24"/>
          <w:szCs w:val="24"/>
        </w:rPr>
        <w:t>t needs.</w:t>
      </w:r>
    </w:p>
    <w:p w:rsidR="00527F22" w:rsidRDefault="00527F22">
      <w:pPr>
        <w:rPr>
          <w:rFonts w:ascii="Times New Roman" w:eastAsia="Times New Roman" w:hAnsi="Times New Roman" w:cs="Times New Roman"/>
          <w:sz w:val="24"/>
          <w:szCs w:val="24"/>
        </w:rPr>
      </w:pPr>
    </w:p>
    <w:p w:rsidR="00527F22" w:rsidRDefault="00EC1D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with most technology companies, </w:t>
      </w:r>
      <w:proofErr w:type="spellStart"/>
      <w:r>
        <w:rPr>
          <w:rFonts w:ascii="Times New Roman" w:eastAsia="Times New Roman" w:hAnsi="Times New Roman" w:cs="Times New Roman"/>
          <w:sz w:val="24"/>
          <w:szCs w:val="24"/>
        </w:rPr>
        <w:t>NeoPhotonics</w:t>
      </w:r>
      <w:proofErr w:type="spellEnd"/>
      <w:r>
        <w:rPr>
          <w:rFonts w:ascii="Times New Roman" w:eastAsia="Times New Roman" w:hAnsi="Times New Roman" w:cs="Times New Roman"/>
          <w:sz w:val="24"/>
          <w:szCs w:val="24"/>
        </w:rPr>
        <w:t xml:space="preserve"> has a high product turnover ratio.  It is unlikely that a product will last longer than 5 years before it is replaced with some new, better technology.  Right now </w:t>
      </w:r>
      <w:proofErr w:type="spellStart"/>
      <w:r>
        <w:rPr>
          <w:rFonts w:ascii="Times New Roman" w:eastAsia="Times New Roman" w:hAnsi="Times New Roman" w:cs="Times New Roman"/>
          <w:sz w:val="24"/>
          <w:szCs w:val="24"/>
        </w:rPr>
        <w:t>Neophotonics</w:t>
      </w:r>
      <w:proofErr w:type="spellEnd"/>
      <w:r>
        <w:rPr>
          <w:rFonts w:ascii="Times New Roman" w:eastAsia="Times New Roman" w:hAnsi="Times New Roman" w:cs="Times New Roman"/>
          <w:sz w:val="24"/>
          <w:szCs w:val="24"/>
        </w:rPr>
        <w:t xml:space="preserve"> is selling various plu</w:t>
      </w:r>
      <w:r>
        <w:rPr>
          <w:rFonts w:ascii="Times New Roman" w:eastAsia="Times New Roman" w:hAnsi="Times New Roman" w:cs="Times New Roman"/>
          <w:sz w:val="24"/>
          <w:szCs w:val="24"/>
        </w:rPr>
        <w:t xml:space="preserve">ggable modules that support from </w:t>
      </w:r>
      <w:proofErr w:type="spellStart"/>
      <w:r>
        <w:rPr>
          <w:rFonts w:ascii="Times New Roman" w:eastAsia="Times New Roman" w:hAnsi="Times New Roman" w:cs="Times New Roman"/>
          <w:sz w:val="24"/>
          <w:szCs w:val="24"/>
        </w:rPr>
        <w:t>100G</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400G</w:t>
      </w:r>
      <w:proofErr w:type="spellEnd"/>
      <w:r>
        <w:rPr>
          <w:rFonts w:ascii="Times New Roman" w:eastAsia="Times New Roman" w:hAnsi="Times New Roman" w:cs="Times New Roman"/>
          <w:sz w:val="24"/>
          <w:szCs w:val="24"/>
        </w:rPr>
        <w:t xml:space="preserve"> connections, the switches and drivers to support these modules, and lasers and other modules to allow them to run. They also have products that allow users to monitor their optical and electrical systems. </w:t>
      </w:r>
    </w:p>
    <w:p w:rsidR="00527F22" w:rsidRDefault="00527F22">
      <w:pPr>
        <w:rPr>
          <w:rFonts w:ascii="Times New Roman" w:eastAsia="Times New Roman" w:hAnsi="Times New Roman" w:cs="Times New Roman"/>
          <w:sz w:val="24"/>
          <w:szCs w:val="24"/>
        </w:rPr>
      </w:pPr>
    </w:p>
    <w:p w:rsidR="00527F22" w:rsidRDefault="00EC1D8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Neo</w:t>
      </w:r>
      <w:r>
        <w:rPr>
          <w:rFonts w:ascii="Times New Roman" w:eastAsia="Times New Roman" w:hAnsi="Times New Roman" w:cs="Times New Roman"/>
          <w:sz w:val="24"/>
          <w:szCs w:val="24"/>
        </w:rPr>
        <w:t>Photonics</w:t>
      </w:r>
      <w:proofErr w:type="spellEnd"/>
      <w:r>
        <w:rPr>
          <w:rFonts w:ascii="Times New Roman" w:eastAsia="Times New Roman" w:hAnsi="Times New Roman" w:cs="Times New Roman"/>
          <w:sz w:val="24"/>
          <w:szCs w:val="24"/>
        </w:rPr>
        <w:t xml:space="preserve"> sells their products to the world’s leading network equipment and optical module companies. These customers serve the telecom market and also the datacenter market, represented by companies including Amazon, Facebook, Google and Microsoft.  It is</w:t>
      </w:r>
      <w:r>
        <w:rPr>
          <w:rFonts w:ascii="Times New Roman" w:eastAsia="Times New Roman" w:hAnsi="Times New Roman" w:cs="Times New Roman"/>
          <w:sz w:val="24"/>
          <w:szCs w:val="24"/>
        </w:rPr>
        <w:t xml:space="preserve"> these companies that </w:t>
      </w:r>
      <w:proofErr w:type="spellStart"/>
      <w:r>
        <w:rPr>
          <w:rFonts w:ascii="Times New Roman" w:eastAsia="Times New Roman" w:hAnsi="Times New Roman" w:cs="Times New Roman"/>
          <w:sz w:val="24"/>
          <w:szCs w:val="24"/>
        </w:rPr>
        <w:t>NeoPhotonics</w:t>
      </w:r>
      <w:proofErr w:type="spellEnd"/>
      <w:r>
        <w:rPr>
          <w:rFonts w:ascii="Times New Roman" w:eastAsia="Times New Roman" w:hAnsi="Times New Roman" w:cs="Times New Roman"/>
          <w:sz w:val="24"/>
          <w:szCs w:val="24"/>
        </w:rPr>
        <w:t xml:space="preserve"> focuses their strategy and market position on due to their important positions in high speed and related communications networks markets.  </w:t>
      </w:r>
    </w:p>
    <w:p w:rsidR="00527F22" w:rsidRDefault="00527F22">
      <w:pPr>
        <w:rPr>
          <w:rFonts w:ascii="Times New Roman" w:eastAsia="Times New Roman" w:hAnsi="Times New Roman" w:cs="Times New Roman"/>
          <w:sz w:val="24"/>
          <w:szCs w:val="24"/>
        </w:rPr>
      </w:pPr>
    </w:p>
    <w:p w:rsidR="00527F22" w:rsidRDefault="00EC1D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Sales of </w:t>
      </w:r>
      <w:proofErr w:type="spellStart"/>
      <w:r>
        <w:rPr>
          <w:rFonts w:ascii="Times New Roman" w:eastAsia="Times New Roman" w:hAnsi="Times New Roman" w:cs="Times New Roman"/>
          <w:sz w:val="24"/>
          <w:szCs w:val="24"/>
        </w:rPr>
        <w:t>NeoPhotonic</w:t>
      </w:r>
      <w:proofErr w:type="spellEnd"/>
      <w:r>
        <w:rPr>
          <w:rFonts w:ascii="Times New Roman" w:eastAsia="Times New Roman" w:hAnsi="Times New Roman" w:cs="Times New Roman"/>
          <w:sz w:val="24"/>
          <w:szCs w:val="24"/>
        </w:rPr>
        <w:t xml:space="preserve"> products are made pursuant to purchase orders, often with s</w:t>
      </w:r>
      <w:r>
        <w:rPr>
          <w:rFonts w:ascii="Times New Roman" w:eastAsia="Times New Roman" w:hAnsi="Times New Roman" w:cs="Times New Roman"/>
          <w:sz w:val="24"/>
          <w:szCs w:val="24"/>
        </w:rPr>
        <w:t>hort lead times. These purchase orders are typically made without deposits and may be subject to revision or cancellation. The quantities actually purchased by our customers, as well as the shipment schedules, are frequently revised to reflect changes in o</w:t>
      </w:r>
      <w:r>
        <w:rPr>
          <w:rFonts w:ascii="Times New Roman" w:eastAsia="Times New Roman" w:hAnsi="Times New Roman" w:cs="Times New Roman"/>
          <w:sz w:val="24"/>
          <w:szCs w:val="24"/>
        </w:rPr>
        <w:t>ur customers’ needs.</w:t>
      </w:r>
    </w:p>
    <w:p w:rsidR="00527F22" w:rsidRDefault="00527F22">
      <w:pPr>
        <w:rPr>
          <w:rFonts w:ascii="Times New Roman" w:eastAsia="Times New Roman" w:hAnsi="Times New Roman" w:cs="Times New Roman"/>
          <w:sz w:val="24"/>
          <w:szCs w:val="24"/>
        </w:rPr>
      </w:pPr>
    </w:p>
    <w:p w:rsidR="00527F22" w:rsidRDefault="00EC1D80">
      <w:pPr>
        <w:rPr>
          <w:rFonts w:ascii="Times New Roman" w:eastAsia="Times New Roman" w:hAnsi="Times New Roman" w:cs="Times New Roman"/>
          <w:sz w:val="24"/>
          <w:szCs w:val="24"/>
        </w:rPr>
      </w:pPr>
      <w:r>
        <w:rPr>
          <w:rFonts w:ascii="Times New Roman" w:eastAsia="Times New Roman" w:hAnsi="Times New Roman" w:cs="Times New Roman"/>
          <w:sz w:val="24"/>
          <w:szCs w:val="24"/>
        </w:rPr>
        <w:t>Top Customers:</w:t>
      </w:r>
    </w:p>
    <w:p w:rsidR="00527F22" w:rsidRDefault="00EC1D80">
      <w:pPr>
        <w:numPr>
          <w:ilvl w:val="0"/>
          <w:numId w:val="3"/>
        </w:numPr>
        <w:ind w:hanging="36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Ciena</w:t>
      </w:r>
      <w:proofErr w:type="spellEnd"/>
      <w:r>
        <w:rPr>
          <w:rFonts w:ascii="Times New Roman" w:eastAsia="Times New Roman" w:hAnsi="Times New Roman" w:cs="Times New Roman"/>
          <w:sz w:val="24"/>
          <w:szCs w:val="24"/>
        </w:rPr>
        <w:t xml:space="preserve"> Corporation, </w:t>
      </w:r>
    </w:p>
    <w:p w:rsidR="00527F22" w:rsidRDefault="00EC1D80">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Cisco Systems, Inc., </w:t>
      </w:r>
    </w:p>
    <w:p w:rsidR="00527F22" w:rsidRDefault="00EC1D80">
      <w:pPr>
        <w:numPr>
          <w:ilvl w:val="0"/>
          <w:numId w:val="3"/>
        </w:numPr>
        <w:ind w:hanging="36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HiSilicon</w:t>
      </w:r>
      <w:proofErr w:type="spellEnd"/>
      <w:r>
        <w:rPr>
          <w:rFonts w:ascii="Times New Roman" w:eastAsia="Times New Roman" w:hAnsi="Times New Roman" w:cs="Times New Roman"/>
          <w:sz w:val="24"/>
          <w:szCs w:val="24"/>
        </w:rPr>
        <w:t xml:space="preserve"> Technologies, Ltd.,</w:t>
      </w:r>
    </w:p>
    <w:p w:rsidR="00527F22" w:rsidRDefault="00EC1D80">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Huawei Technologies Co., Ltd. (collectively “Huawei”) and </w:t>
      </w:r>
    </w:p>
    <w:p w:rsidR="00527F22" w:rsidRDefault="00EC1D80">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Nokia Corporation (formerly Alcatel-Lucent SA which was acquired by Nokia Corporation in January 2016).  </w:t>
      </w:r>
    </w:p>
    <w:p w:rsidR="00527F22" w:rsidRDefault="00527F22">
      <w:pPr>
        <w:rPr>
          <w:rFonts w:ascii="Times New Roman" w:eastAsia="Times New Roman" w:hAnsi="Times New Roman" w:cs="Times New Roman"/>
          <w:sz w:val="24"/>
          <w:szCs w:val="24"/>
        </w:rPr>
      </w:pPr>
    </w:p>
    <w:p w:rsidR="00527F22" w:rsidRDefault="00EC1D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Huawei and its affiliate </w:t>
      </w:r>
      <w:proofErr w:type="spellStart"/>
      <w:r>
        <w:rPr>
          <w:rFonts w:ascii="Times New Roman" w:eastAsia="Times New Roman" w:hAnsi="Times New Roman" w:cs="Times New Roman"/>
          <w:sz w:val="24"/>
          <w:szCs w:val="24"/>
        </w:rPr>
        <w:t>HiSilicon</w:t>
      </w:r>
      <w:proofErr w:type="spellEnd"/>
      <w:r>
        <w:rPr>
          <w:rFonts w:ascii="Times New Roman" w:eastAsia="Times New Roman" w:hAnsi="Times New Roman" w:cs="Times New Roman"/>
          <w:sz w:val="24"/>
          <w:szCs w:val="24"/>
        </w:rPr>
        <w:t xml:space="preserve"> Technologies, accounted for approximately 40% of the revenue in 2015 and 50% of the revenue in 2016.  </w:t>
      </w:r>
      <w:proofErr w:type="spellStart"/>
      <w:r>
        <w:rPr>
          <w:rFonts w:ascii="Times New Roman" w:eastAsia="Times New Roman" w:hAnsi="Times New Roman" w:cs="Times New Roman"/>
          <w:sz w:val="24"/>
          <w:szCs w:val="24"/>
        </w:rPr>
        <w:t>Ciena</w:t>
      </w:r>
      <w:proofErr w:type="spellEnd"/>
      <w:r>
        <w:rPr>
          <w:rFonts w:ascii="Times New Roman" w:eastAsia="Times New Roman" w:hAnsi="Times New Roman" w:cs="Times New Roman"/>
          <w:sz w:val="24"/>
          <w:szCs w:val="24"/>
        </w:rPr>
        <w:t xml:space="preserve"> accoun</w:t>
      </w:r>
      <w:r>
        <w:rPr>
          <w:rFonts w:ascii="Times New Roman" w:eastAsia="Times New Roman" w:hAnsi="Times New Roman" w:cs="Times New Roman"/>
          <w:sz w:val="24"/>
          <w:szCs w:val="24"/>
        </w:rPr>
        <w:t>ted for approximately 25%  of the revenue in 2015 and 15% of the revenue in 2016.</w:t>
      </w:r>
    </w:p>
    <w:p w:rsidR="00527F22" w:rsidRDefault="00527F22">
      <w:pPr>
        <w:rPr>
          <w:rFonts w:ascii="Times New Roman" w:eastAsia="Times New Roman" w:hAnsi="Times New Roman" w:cs="Times New Roman"/>
          <w:sz w:val="24"/>
          <w:szCs w:val="24"/>
        </w:rPr>
      </w:pPr>
    </w:p>
    <w:p w:rsidR="00527F22" w:rsidRDefault="00EC1D8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NeoPhotonics</w:t>
      </w:r>
      <w:proofErr w:type="spellEnd"/>
      <w:r>
        <w:rPr>
          <w:rFonts w:ascii="Times New Roman" w:eastAsia="Times New Roman" w:hAnsi="Times New Roman" w:cs="Times New Roman"/>
          <w:sz w:val="24"/>
          <w:szCs w:val="24"/>
        </w:rPr>
        <w:t xml:space="preserve"> is very dependent on these customers.  A reduction of orders from any of these companies would have an impact on revenue. </w:t>
      </w:r>
    </w:p>
    <w:p w:rsidR="00527F22" w:rsidRDefault="00527F22">
      <w:pPr>
        <w:rPr>
          <w:rFonts w:ascii="Times New Roman" w:eastAsia="Times New Roman" w:hAnsi="Times New Roman" w:cs="Times New Roman"/>
          <w:sz w:val="24"/>
          <w:szCs w:val="24"/>
        </w:rPr>
      </w:pPr>
    </w:p>
    <w:p w:rsidR="00527F22" w:rsidRDefault="00EC1D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Right now the </w:t>
      </w:r>
      <w:proofErr w:type="spellStart"/>
      <w:r>
        <w:rPr>
          <w:rFonts w:ascii="Times New Roman" w:eastAsia="Times New Roman" w:hAnsi="Times New Roman" w:cs="Times New Roman"/>
          <w:sz w:val="24"/>
          <w:szCs w:val="24"/>
        </w:rPr>
        <w:t>100G</w:t>
      </w:r>
      <w:proofErr w:type="spellEnd"/>
      <w:r>
        <w:rPr>
          <w:rFonts w:ascii="Times New Roman" w:eastAsia="Times New Roman" w:hAnsi="Times New Roman" w:cs="Times New Roman"/>
          <w:sz w:val="24"/>
          <w:szCs w:val="24"/>
        </w:rPr>
        <w:t xml:space="preserve"> products are </w:t>
      </w:r>
      <w:proofErr w:type="spellStart"/>
      <w:r>
        <w:rPr>
          <w:rFonts w:ascii="Times New Roman" w:eastAsia="Times New Roman" w:hAnsi="Times New Roman" w:cs="Times New Roman"/>
          <w:sz w:val="24"/>
          <w:szCs w:val="24"/>
        </w:rPr>
        <w:t>Neop</w:t>
      </w:r>
      <w:r>
        <w:rPr>
          <w:rFonts w:ascii="Times New Roman" w:eastAsia="Times New Roman" w:hAnsi="Times New Roman" w:cs="Times New Roman"/>
          <w:sz w:val="24"/>
          <w:szCs w:val="24"/>
        </w:rPr>
        <w:t>hotonics</w:t>
      </w:r>
      <w:proofErr w:type="spellEnd"/>
      <w:r>
        <w:rPr>
          <w:rFonts w:ascii="Times New Roman" w:eastAsia="Times New Roman" w:hAnsi="Times New Roman" w:cs="Times New Roman"/>
          <w:sz w:val="24"/>
          <w:szCs w:val="24"/>
        </w:rPr>
        <w:t xml:space="preserve"> main source of revenue.  As would be expected, their main expense is research and development.  Sales and marketing, general and administrative, amortization of purchased intangible assets, acquisition-related costs, restructuring charges, and ass</w:t>
      </w:r>
      <w:r>
        <w:rPr>
          <w:rFonts w:ascii="Times New Roman" w:eastAsia="Times New Roman" w:hAnsi="Times New Roman" w:cs="Times New Roman"/>
          <w:sz w:val="24"/>
          <w:szCs w:val="24"/>
        </w:rPr>
        <w:t>et impairment charges are other major expense categories.</w:t>
      </w:r>
    </w:p>
    <w:p w:rsidR="00527F22" w:rsidRDefault="00527F22">
      <w:pPr>
        <w:rPr>
          <w:rFonts w:ascii="Times New Roman" w:eastAsia="Times New Roman" w:hAnsi="Times New Roman" w:cs="Times New Roman"/>
          <w:sz w:val="24"/>
          <w:szCs w:val="24"/>
        </w:rPr>
      </w:pPr>
    </w:p>
    <w:p w:rsidR="00527F22" w:rsidRDefault="00EC1D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may have noticed that one of </w:t>
      </w:r>
      <w:proofErr w:type="spellStart"/>
      <w:r>
        <w:rPr>
          <w:rFonts w:ascii="Times New Roman" w:eastAsia="Times New Roman" w:hAnsi="Times New Roman" w:cs="Times New Roman"/>
          <w:sz w:val="24"/>
          <w:szCs w:val="24"/>
        </w:rPr>
        <w:t>NeoPhotonics</w:t>
      </w:r>
      <w:proofErr w:type="spellEnd"/>
      <w:r>
        <w:rPr>
          <w:rFonts w:ascii="Times New Roman" w:eastAsia="Times New Roman" w:hAnsi="Times New Roman" w:cs="Times New Roman"/>
          <w:sz w:val="24"/>
          <w:szCs w:val="24"/>
        </w:rPr>
        <w:t xml:space="preserve"> major expense categories is, “acquisition-related costs”. In addition to developing its own technologies and products, </w:t>
      </w:r>
      <w:proofErr w:type="spellStart"/>
      <w:r>
        <w:rPr>
          <w:rFonts w:ascii="Times New Roman" w:eastAsia="Times New Roman" w:hAnsi="Times New Roman" w:cs="Times New Roman"/>
          <w:sz w:val="24"/>
          <w:szCs w:val="24"/>
        </w:rPr>
        <w:t>NeoPhotonics</w:t>
      </w:r>
      <w:proofErr w:type="spellEnd"/>
      <w:r>
        <w:rPr>
          <w:rFonts w:ascii="Times New Roman" w:eastAsia="Times New Roman" w:hAnsi="Times New Roman" w:cs="Times New Roman"/>
          <w:sz w:val="24"/>
          <w:szCs w:val="24"/>
        </w:rPr>
        <w:t xml:space="preserve"> has acquired 11 com</w:t>
      </w:r>
      <w:r>
        <w:rPr>
          <w:rFonts w:ascii="Times New Roman" w:eastAsia="Times New Roman" w:hAnsi="Times New Roman" w:cs="Times New Roman"/>
          <w:sz w:val="24"/>
          <w:szCs w:val="24"/>
        </w:rPr>
        <w:t xml:space="preserve">panies since the beginning of 2003, and they are looking to add more soon.  These products have added key technologies and have had a major impact on revenue. </w:t>
      </w:r>
    </w:p>
    <w:p w:rsidR="00527F22" w:rsidRDefault="00527F22">
      <w:pPr>
        <w:rPr>
          <w:rFonts w:ascii="Times New Roman" w:eastAsia="Times New Roman" w:hAnsi="Times New Roman" w:cs="Times New Roman"/>
          <w:sz w:val="24"/>
          <w:szCs w:val="24"/>
        </w:rPr>
      </w:pPr>
    </w:p>
    <w:p w:rsidR="00527F22" w:rsidRDefault="00EC1D8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Management &amp; Governance:</w:t>
      </w:r>
    </w:p>
    <w:p w:rsidR="00527F22" w:rsidRDefault="00527F22">
      <w:pPr>
        <w:rPr>
          <w:rFonts w:ascii="Times New Roman" w:eastAsia="Times New Roman" w:hAnsi="Times New Roman" w:cs="Times New Roman"/>
          <w:b/>
          <w:sz w:val="24"/>
          <w:szCs w:val="24"/>
        </w:rPr>
      </w:pPr>
    </w:p>
    <w:p w:rsidR="00527F22" w:rsidRDefault="00EC1D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of directors of </w:t>
      </w:r>
      <w:proofErr w:type="spellStart"/>
      <w:r>
        <w:rPr>
          <w:rFonts w:ascii="Times New Roman" w:eastAsia="Times New Roman" w:hAnsi="Times New Roman" w:cs="Times New Roman"/>
          <w:sz w:val="24"/>
          <w:szCs w:val="24"/>
        </w:rPr>
        <w:t>NeoPhotonic</w:t>
      </w:r>
      <w:proofErr w:type="spellEnd"/>
      <w:r>
        <w:rPr>
          <w:rFonts w:ascii="Times New Roman" w:eastAsia="Times New Roman" w:hAnsi="Times New Roman" w:cs="Times New Roman"/>
          <w:sz w:val="24"/>
          <w:szCs w:val="24"/>
        </w:rPr>
        <w:t xml:space="preserve"> has adopted Corporate Governance Guidelines.</w:t>
      </w:r>
    </w:p>
    <w:p w:rsidR="00527F22" w:rsidRDefault="00EC1D8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NeoPhotonics</w:t>
      </w:r>
      <w:proofErr w:type="spellEnd"/>
      <w:r>
        <w:rPr>
          <w:rFonts w:ascii="Times New Roman" w:eastAsia="Times New Roman" w:hAnsi="Times New Roman" w:cs="Times New Roman"/>
          <w:sz w:val="24"/>
          <w:szCs w:val="24"/>
        </w:rPr>
        <w:t xml:space="preserve"> is currently combining the positions of Chief Executive Officer and chairman of the board of directors and thinking it is beneficial. Officer and Chairman is be</w:t>
      </w:r>
      <w:r>
        <w:rPr>
          <w:rFonts w:ascii="Times New Roman" w:eastAsia="Times New Roman" w:hAnsi="Times New Roman" w:cs="Times New Roman"/>
          <w:sz w:val="24"/>
          <w:szCs w:val="24"/>
        </w:rPr>
        <w:t>tter positioned to act as a bridge between management and the board of directors, facilitating the regular flow of information. It helps to ensure that the board of directors and management act with a common purpose, provides a single, clear chain of comma</w:t>
      </w:r>
      <w:r>
        <w:rPr>
          <w:rFonts w:ascii="Times New Roman" w:eastAsia="Times New Roman" w:hAnsi="Times New Roman" w:cs="Times New Roman"/>
          <w:sz w:val="24"/>
          <w:szCs w:val="24"/>
        </w:rPr>
        <w:t xml:space="preserve">nd to execute our strategic initiatives and business plans. </w:t>
      </w:r>
    </w:p>
    <w:p w:rsidR="00527F22" w:rsidRDefault="00527F22">
      <w:pPr>
        <w:rPr>
          <w:rFonts w:ascii="Times New Roman" w:eastAsia="Times New Roman" w:hAnsi="Times New Roman" w:cs="Times New Roman"/>
          <w:sz w:val="24"/>
          <w:szCs w:val="24"/>
        </w:rPr>
      </w:pPr>
    </w:p>
    <w:p w:rsidR="00527F22" w:rsidRDefault="00EC1D8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NeoPhotonics</w:t>
      </w:r>
      <w:proofErr w:type="spellEnd"/>
      <w:r>
        <w:rPr>
          <w:rFonts w:ascii="Times New Roman" w:eastAsia="Times New Roman" w:hAnsi="Times New Roman" w:cs="Times New Roman"/>
          <w:sz w:val="24"/>
          <w:szCs w:val="24"/>
        </w:rPr>
        <w:t xml:space="preserve"> have divided board of directors into three Committees, Audit Committee, Compensation Committee and Nominating and Corporate Governance Committee.</w:t>
      </w:r>
    </w:p>
    <w:p w:rsidR="00527F22" w:rsidRDefault="00527F22">
      <w:pPr>
        <w:rPr>
          <w:rFonts w:ascii="Times New Roman" w:eastAsia="Times New Roman" w:hAnsi="Times New Roman" w:cs="Times New Roman"/>
          <w:sz w:val="24"/>
          <w:szCs w:val="24"/>
        </w:rPr>
      </w:pPr>
    </w:p>
    <w:p w:rsidR="00527F22" w:rsidRDefault="00EC1D80">
      <w:pPr>
        <w:rPr>
          <w:rFonts w:ascii="Times New Roman" w:eastAsia="Times New Roman" w:hAnsi="Times New Roman" w:cs="Times New Roman"/>
          <w:sz w:val="24"/>
          <w:szCs w:val="24"/>
        </w:rPr>
      </w:pPr>
      <w:r>
        <w:rPr>
          <w:rFonts w:ascii="Times New Roman" w:eastAsia="Times New Roman" w:hAnsi="Times New Roman" w:cs="Times New Roman"/>
          <w:sz w:val="24"/>
          <w:szCs w:val="24"/>
        </w:rPr>
        <w:t>Audit Committee is responsible for</w:t>
      </w:r>
      <w:r>
        <w:rPr>
          <w:rFonts w:ascii="Times New Roman" w:eastAsia="Times New Roman" w:hAnsi="Times New Roman" w:cs="Times New Roman"/>
          <w:sz w:val="24"/>
          <w:szCs w:val="24"/>
        </w:rPr>
        <w:t xml:space="preserve"> selecting, hiring, supervising and evaluating the independent registered public accounting firm and reviewing and discussing with management and the accounting firm our annual audited and quarterly financial statements.</w:t>
      </w:r>
    </w:p>
    <w:p w:rsidR="00527F22" w:rsidRDefault="00EC1D80">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Compensation Committee is responsib</w:t>
      </w:r>
      <w:r>
        <w:rPr>
          <w:rFonts w:ascii="Times New Roman" w:eastAsia="Times New Roman" w:hAnsi="Times New Roman" w:cs="Times New Roman"/>
          <w:sz w:val="24"/>
          <w:szCs w:val="24"/>
        </w:rPr>
        <w:t xml:space="preserve">le for reviewing and approving the compensation of our directors, administering stock option plans, stock purchase plans, compensation plans and similar </w:t>
      </w:r>
      <w:r>
        <w:rPr>
          <w:rFonts w:ascii="Times New Roman" w:eastAsia="Times New Roman" w:hAnsi="Times New Roman" w:cs="Times New Roman"/>
          <w:sz w:val="24"/>
          <w:szCs w:val="24"/>
        </w:rPr>
        <w:lastRenderedPageBreak/>
        <w:t>programs, identifying and developing internal employees with the potential to fill executive or managem</w:t>
      </w:r>
      <w:r>
        <w:rPr>
          <w:rFonts w:ascii="Times New Roman" w:eastAsia="Times New Roman" w:hAnsi="Times New Roman" w:cs="Times New Roman"/>
          <w:sz w:val="24"/>
          <w:szCs w:val="24"/>
        </w:rPr>
        <w:t>ent positions.</w:t>
      </w:r>
    </w:p>
    <w:p w:rsidR="00527F22" w:rsidRDefault="00527F22">
      <w:pPr>
        <w:rPr>
          <w:rFonts w:ascii="Times New Roman" w:eastAsia="Times New Roman" w:hAnsi="Times New Roman" w:cs="Times New Roman"/>
          <w:sz w:val="24"/>
          <w:szCs w:val="24"/>
        </w:rPr>
      </w:pPr>
    </w:p>
    <w:p w:rsidR="00527F22" w:rsidRDefault="00EC1D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Corporate Governance Committee is responsible for assessing the performance of our management and our board of </w:t>
      </w:r>
      <w:proofErr w:type="spellStart"/>
      <w:r>
        <w:rPr>
          <w:rFonts w:ascii="Times New Roman" w:eastAsia="Times New Roman" w:hAnsi="Times New Roman" w:cs="Times New Roman"/>
          <w:sz w:val="24"/>
          <w:szCs w:val="24"/>
        </w:rPr>
        <w:t>directors,identifying</w:t>
      </w:r>
      <w:proofErr w:type="spellEnd"/>
      <w:r>
        <w:rPr>
          <w:rFonts w:ascii="Times New Roman" w:eastAsia="Times New Roman" w:hAnsi="Times New Roman" w:cs="Times New Roman"/>
          <w:sz w:val="24"/>
          <w:szCs w:val="24"/>
        </w:rPr>
        <w:t>, reviewing, and evaluating candidates to serve and developing a set of corporate governance principles.</w:t>
      </w:r>
    </w:p>
    <w:p w:rsidR="00527F22" w:rsidRDefault="00527F22">
      <w:pPr>
        <w:rPr>
          <w:rFonts w:ascii="Times New Roman" w:eastAsia="Times New Roman" w:hAnsi="Times New Roman" w:cs="Times New Roman"/>
          <w:sz w:val="24"/>
          <w:szCs w:val="24"/>
        </w:rPr>
      </w:pPr>
    </w:p>
    <w:p w:rsidR="00527F22" w:rsidRDefault="00EC1D80">
      <w:pPr>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z w:val="24"/>
          <w:szCs w:val="24"/>
        </w:rPr>
        <w:t>e following table illustrates the proportions of base salary, target variable bonus and equity awards in 2015:</w:t>
      </w:r>
    </w:p>
    <w:p w:rsidR="00527F22" w:rsidRDefault="00EC1D80">
      <w:pPr>
        <w:rPr>
          <w:rFonts w:ascii="Times New Roman" w:eastAsia="Times New Roman" w:hAnsi="Times New Roman" w:cs="Times New Roman"/>
          <w:sz w:val="24"/>
          <w:szCs w:val="24"/>
        </w:rPr>
      </w:pPr>
      <w:r>
        <w:rPr>
          <w:noProof/>
        </w:rPr>
        <w:drawing>
          <wp:inline distT="114300" distB="114300" distL="114300" distR="114300">
            <wp:extent cx="5943600" cy="1270000"/>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5943600" cy="1270000"/>
                    </a:xfrm>
                    <a:prstGeom prst="rect">
                      <a:avLst/>
                    </a:prstGeom>
                    <a:ln/>
                  </pic:spPr>
                </pic:pic>
              </a:graphicData>
            </a:graphic>
          </wp:inline>
        </w:drawing>
      </w:r>
    </w:p>
    <w:p w:rsidR="00527F22" w:rsidRDefault="00EC1D8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October 2015, our Compensation Committee approved the grant of the following equity award to executives:</w:t>
      </w:r>
    </w:p>
    <w:p w:rsidR="00527F22" w:rsidRDefault="00EC1D80">
      <w:pPr>
        <w:rPr>
          <w:rFonts w:ascii="Times New Roman" w:eastAsia="Times New Roman" w:hAnsi="Times New Roman" w:cs="Times New Roman"/>
          <w:sz w:val="24"/>
          <w:szCs w:val="24"/>
        </w:rPr>
      </w:pPr>
      <w:r>
        <w:rPr>
          <w:noProof/>
        </w:rPr>
        <w:drawing>
          <wp:inline distT="114300" distB="114300" distL="114300" distR="114300">
            <wp:extent cx="5943600" cy="2159000"/>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a:stretch>
                      <a:fillRect/>
                    </a:stretch>
                  </pic:blipFill>
                  <pic:spPr>
                    <a:xfrm>
                      <a:off x="0" y="0"/>
                      <a:ext cx="5943600" cy="2159000"/>
                    </a:xfrm>
                    <a:prstGeom prst="rect">
                      <a:avLst/>
                    </a:prstGeom>
                    <a:ln/>
                  </pic:spPr>
                </pic:pic>
              </a:graphicData>
            </a:graphic>
          </wp:inline>
        </w:drawing>
      </w:r>
    </w:p>
    <w:p w:rsidR="00527F22" w:rsidRDefault="00EC1D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Industry Overview &amp; Competitive P</w:t>
      </w:r>
      <w:r>
        <w:rPr>
          <w:rFonts w:ascii="Times New Roman" w:eastAsia="Times New Roman" w:hAnsi="Times New Roman" w:cs="Times New Roman"/>
          <w:b/>
          <w:sz w:val="24"/>
          <w:szCs w:val="24"/>
        </w:rPr>
        <w:t>ositioning:</w:t>
      </w:r>
    </w:p>
    <w:p w:rsidR="00527F22" w:rsidRDefault="00EC1D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technology industry is highly competitive. Pressure is constantly put on companies to reduce prices resulting from increased competition, overcapacity, and the introduction of new products. While no single company competes with </w:t>
      </w:r>
      <w:proofErr w:type="spellStart"/>
      <w:r>
        <w:rPr>
          <w:rFonts w:ascii="Times New Roman" w:eastAsia="Times New Roman" w:hAnsi="Times New Roman" w:cs="Times New Roman"/>
          <w:sz w:val="24"/>
          <w:szCs w:val="24"/>
        </w:rPr>
        <w:t>NeoPhotonics</w:t>
      </w:r>
      <w:proofErr w:type="spellEnd"/>
      <w:r>
        <w:rPr>
          <w:rFonts w:ascii="Times New Roman" w:eastAsia="Times New Roman" w:hAnsi="Times New Roman" w:cs="Times New Roman"/>
          <w:sz w:val="24"/>
          <w:szCs w:val="24"/>
        </w:rPr>
        <w:t xml:space="preserve"> across all of their product areas, their competitors range from large international companies offering a wide range of products to smaller companies specializing in narrow markets. </w:t>
      </w:r>
    </w:p>
    <w:p w:rsidR="00527F22" w:rsidRDefault="00527F22">
      <w:pPr>
        <w:rPr>
          <w:rFonts w:ascii="Times New Roman" w:eastAsia="Times New Roman" w:hAnsi="Times New Roman" w:cs="Times New Roman"/>
          <w:sz w:val="24"/>
          <w:szCs w:val="24"/>
        </w:rPr>
      </w:pPr>
    </w:p>
    <w:p w:rsidR="00527F22" w:rsidRDefault="00EC1D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w:t>
      </w:r>
      <w:proofErr w:type="spellStart"/>
      <w:r>
        <w:rPr>
          <w:rFonts w:ascii="Times New Roman" w:eastAsia="Times New Roman" w:hAnsi="Times New Roman" w:cs="Times New Roman"/>
          <w:sz w:val="24"/>
          <w:szCs w:val="24"/>
        </w:rPr>
        <w:t>NeoPhotonics</w:t>
      </w:r>
      <w:proofErr w:type="spellEnd"/>
      <w:r>
        <w:rPr>
          <w:rFonts w:ascii="Times New Roman" w:eastAsia="Times New Roman" w:hAnsi="Times New Roman" w:cs="Times New Roman"/>
          <w:sz w:val="24"/>
          <w:szCs w:val="24"/>
        </w:rPr>
        <w:t xml:space="preserve"> the principal competitive factors in this mark</w:t>
      </w:r>
      <w:r>
        <w:rPr>
          <w:rFonts w:ascii="Times New Roman" w:eastAsia="Times New Roman" w:hAnsi="Times New Roman" w:cs="Times New Roman"/>
          <w:sz w:val="24"/>
          <w:szCs w:val="24"/>
        </w:rPr>
        <w:t xml:space="preserve">et are: </w:t>
      </w:r>
    </w:p>
    <w:p w:rsidR="00527F22" w:rsidRDefault="00527F22">
      <w:pPr>
        <w:spacing w:line="240" w:lineRule="auto"/>
        <w:rPr>
          <w:rFonts w:ascii="Times New Roman" w:eastAsia="Times New Roman" w:hAnsi="Times New Roman" w:cs="Times New Roman"/>
          <w:sz w:val="24"/>
          <w:szCs w:val="24"/>
        </w:rPr>
      </w:pPr>
    </w:p>
    <w:p w:rsidR="00527F22" w:rsidRDefault="00EC1D80">
      <w:pPr>
        <w:widowControl w:v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provide leading edge technologies for high speed communications</w:t>
      </w:r>
    </w:p>
    <w:p w:rsidR="00527F22" w:rsidRDefault="00EC1D80">
      <w:pPr>
        <w:numPr>
          <w:ilvl w:val="0"/>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design and manufacture high quality, reliable products, including customized solutions</w:t>
      </w:r>
    </w:p>
    <w:p w:rsidR="00527F22" w:rsidRDefault="00EC1D80">
      <w:pPr>
        <w:widowControl w:v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Breath of product solutions</w:t>
      </w:r>
    </w:p>
    <w:p w:rsidR="00527F22" w:rsidRDefault="00EC1D80">
      <w:pPr>
        <w:widowControl w:v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Price to performance characteristics</w:t>
      </w:r>
    </w:p>
    <w:p w:rsidR="00527F22" w:rsidRDefault="00EC1D80">
      <w:pPr>
        <w:widowControl w:v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stability</w:t>
      </w:r>
    </w:p>
    <w:p w:rsidR="00527F22" w:rsidRDefault="00EC1D80">
      <w:pPr>
        <w:numPr>
          <w:ilvl w:val="0"/>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quickly and consistently produce in high volume and high quality</w:t>
      </w:r>
    </w:p>
    <w:p w:rsidR="00527F22" w:rsidRDefault="00EC1D80">
      <w:pPr>
        <w:widowControl w:v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meet customer’s specific requirements</w:t>
      </w:r>
    </w:p>
    <w:p w:rsidR="00527F22" w:rsidRDefault="00EC1D80">
      <w:pPr>
        <w:widowControl w:v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meet customers lead time demands</w:t>
      </w:r>
    </w:p>
    <w:p w:rsidR="00527F22" w:rsidRDefault="00EC1D80">
      <w:pPr>
        <w:widowControl w:v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Depth of relationships with and proximity to key customers globally</w:t>
      </w:r>
    </w:p>
    <w:p w:rsidR="00527F22" w:rsidRDefault="00527F22">
      <w:pPr>
        <w:widowControl w:val="0"/>
        <w:rPr>
          <w:rFonts w:ascii="Times New Roman" w:eastAsia="Times New Roman" w:hAnsi="Times New Roman" w:cs="Times New Roman"/>
          <w:sz w:val="24"/>
          <w:szCs w:val="24"/>
        </w:rPr>
      </w:pPr>
    </w:p>
    <w:p w:rsidR="00527F22" w:rsidRDefault="00EC1D8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NeoPhotonics</w:t>
      </w:r>
      <w:proofErr w:type="spellEnd"/>
      <w:r>
        <w:rPr>
          <w:rFonts w:ascii="Times New Roman" w:eastAsia="Times New Roman" w:hAnsi="Times New Roman" w:cs="Times New Roman"/>
          <w:sz w:val="24"/>
          <w:szCs w:val="24"/>
        </w:rPr>
        <w:t xml:space="preserve"> is competing favorably with respect to these factors. </w:t>
      </w:r>
    </w:p>
    <w:p w:rsidR="00527F22" w:rsidRDefault="00527F22">
      <w:pPr>
        <w:rPr>
          <w:rFonts w:ascii="Times New Roman" w:eastAsia="Times New Roman" w:hAnsi="Times New Roman" w:cs="Times New Roman"/>
          <w:sz w:val="24"/>
          <w:szCs w:val="24"/>
        </w:rPr>
      </w:pPr>
    </w:p>
    <w:p w:rsidR="00527F22" w:rsidRDefault="00EC1D8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NeoPhotonics</w:t>
      </w:r>
      <w:proofErr w:type="spellEnd"/>
      <w:r>
        <w:rPr>
          <w:rFonts w:ascii="Times New Roman" w:eastAsia="Times New Roman" w:hAnsi="Times New Roman" w:cs="Times New Roman"/>
          <w:sz w:val="24"/>
          <w:szCs w:val="24"/>
        </w:rPr>
        <w:t xml:space="preserve"> competitors have greater name recognition and technical, financial and marketing resources. Many of their competitors have greater resources to develop products or pursue a</w:t>
      </w:r>
      <w:r>
        <w:rPr>
          <w:rFonts w:ascii="Times New Roman" w:eastAsia="Times New Roman" w:hAnsi="Times New Roman" w:cs="Times New Roman"/>
          <w:sz w:val="24"/>
          <w:szCs w:val="24"/>
        </w:rPr>
        <w:t xml:space="preserve">cquisitions, and more experience in developing or acquiring new products and technologies and in creating market awareness for these products and technologies. In addition, a number of </w:t>
      </w:r>
      <w:proofErr w:type="spellStart"/>
      <w:r>
        <w:rPr>
          <w:rFonts w:ascii="Times New Roman" w:eastAsia="Times New Roman" w:hAnsi="Times New Roman" w:cs="Times New Roman"/>
          <w:sz w:val="24"/>
          <w:szCs w:val="24"/>
        </w:rPr>
        <w:t>NeoPhotonic’s</w:t>
      </w:r>
      <w:proofErr w:type="spellEnd"/>
      <w:r>
        <w:rPr>
          <w:rFonts w:ascii="Times New Roman" w:eastAsia="Times New Roman" w:hAnsi="Times New Roman" w:cs="Times New Roman"/>
          <w:sz w:val="24"/>
          <w:szCs w:val="24"/>
        </w:rPr>
        <w:t xml:space="preserve"> competitors have the financial resources to offer competi</w:t>
      </w:r>
      <w:r>
        <w:rPr>
          <w:rFonts w:ascii="Times New Roman" w:eastAsia="Times New Roman" w:hAnsi="Times New Roman" w:cs="Times New Roman"/>
          <w:sz w:val="24"/>
          <w:szCs w:val="24"/>
        </w:rPr>
        <w:t xml:space="preserve">tive products at or below market pricing levels. This could prevent them from competing effectively and could adversely affect financial performance. </w:t>
      </w:r>
    </w:p>
    <w:p w:rsidR="00527F22" w:rsidRDefault="00527F22">
      <w:pPr>
        <w:rPr>
          <w:rFonts w:ascii="Times New Roman" w:eastAsia="Times New Roman" w:hAnsi="Times New Roman" w:cs="Times New Roman"/>
          <w:sz w:val="24"/>
          <w:szCs w:val="24"/>
        </w:rPr>
      </w:pPr>
    </w:p>
    <w:p w:rsidR="00527F22" w:rsidRDefault="00EC1D8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 Competitors</w:t>
      </w:r>
    </w:p>
    <w:tbl>
      <w:tblPr>
        <w:tblStyle w:val="a"/>
        <w:tblW w:w="10377"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3060"/>
        <w:gridCol w:w="2475"/>
        <w:gridCol w:w="2250"/>
        <w:gridCol w:w="2592"/>
      </w:tblGrid>
      <w:tr w:rsidR="00527F22">
        <w:trPr>
          <w:trHeight w:val="400"/>
        </w:trPr>
        <w:tc>
          <w:tcPr>
            <w:tcW w:w="3060" w:type="dxa"/>
            <w:tcMar>
              <w:top w:w="140" w:type="dxa"/>
              <w:left w:w="140" w:type="dxa"/>
              <w:bottom w:w="140" w:type="dxa"/>
              <w:right w:w="140" w:type="dxa"/>
            </w:tcMar>
          </w:tcPr>
          <w:p w:rsidR="00527F22" w:rsidRDefault="00EC1D80">
            <w:pPr>
              <w:widowControl w:val="0"/>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Company</w:t>
            </w:r>
          </w:p>
        </w:tc>
        <w:tc>
          <w:tcPr>
            <w:tcW w:w="2475" w:type="dxa"/>
            <w:tcMar>
              <w:top w:w="140" w:type="dxa"/>
              <w:left w:w="140" w:type="dxa"/>
              <w:bottom w:w="140" w:type="dxa"/>
              <w:right w:w="140" w:type="dxa"/>
            </w:tcMar>
          </w:tcPr>
          <w:p w:rsidR="00527F22" w:rsidRDefault="00EC1D80">
            <w:pPr>
              <w:widowControl w:val="0"/>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Estimated Revenue</w:t>
            </w:r>
          </w:p>
        </w:tc>
        <w:tc>
          <w:tcPr>
            <w:tcW w:w="2250" w:type="dxa"/>
            <w:tcBorders>
              <w:right w:val="single" w:sz="8" w:space="0" w:color="9E9E9E"/>
            </w:tcBorders>
            <w:tcMar>
              <w:top w:w="140" w:type="dxa"/>
              <w:left w:w="140" w:type="dxa"/>
              <w:bottom w:w="140" w:type="dxa"/>
              <w:right w:w="140" w:type="dxa"/>
            </w:tcMar>
          </w:tcPr>
          <w:p w:rsidR="00527F22" w:rsidRDefault="00EC1D80">
            <w:pPr>
              <w:widowControl w:val="0"/>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Headcount</w:t>
            </w:r>
          </w:p>
        </w:tc>
        <w:tc>
          <w:tcPr>
            <w:tcW w:w="2592"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rsidR="00527F22" w:rsidRDefault="00EC1D80">
            <w:pPr>
              <w:widowControl w:val="0"/>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Stock Price</w:t>
            </w:r>
          </w:p>
        </w:tc>
      </w:tr>
      <w:tr w:rsidR="00527F22">
        <w:trPr>
          <w:trHeight w:val="200"/>
        </w:trPr>
        <w:tc>
          <w:tcPr>
            <w:tcW w:w="3060" w:type="dxa"/>
            <w:tcMar>
              <w:top w:w="140" w:type="dxa"/>
              <w:left w:w="140" w:type="dxa"/>
              <w:bottom w:w="140" w:type="dxa"/>
              <w:right w:w="140" w:type="dxa"/>
            </w:tcMar>
          </w:tcPr>
          <w:p w:rsidR="00527F22" w:rsidRDefault="00EC1D80">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M/A-COM</w:t>
            </w:r>
          </w:p>
        </w:tc>
        <w:tc>
          <w:tcPr>
            <w:tcW w:w="2475" w:type="dxa"/>
            <w:tcMar>
              <w:top w:w="140" w:type="dxa"/>
              <w:left w:w="140" w:type="dxa"/>
              <w:bottom w:w="140" w:type="dxa"/>
              <w:right w:w="140" w:type="dxa"/>
            </w:tcMar>
          </w:tcPr>
          <w:p w:rsidR="00527F22" w:rsidRDefault="00EC1D80">
            <w:pPr>
              <w:widowControl w:val="0"/>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420.6M</w:t>
            </w:r>
            <w:proofErr w:type="spellEnd"/>
          </w:p>
        </w:tc>
        <w:tc>
          <w:tcPr>
            <w:tcW w:w="2250" w:type="dxa"/>
            <w:tcBorders>
              <w:right w:val="single" w:sz="8" w:space="0" w:color="9E9E9E"/>
            </w:tcBorders>
            <w:tcMar>
              <w:top w:w="140" w:type="dxa"/>
              <w:left w:w="140" w:type="dxa"/>
              <w:bottom w:w="140" w:type="dxa"/>
              <w:right w:w="140" w:type="dxa"/>
            </w:tcMar>
          </w:tcPr>
          <w:p w:rsidR="00527F22" w:rsidRDefault="00EC1D80">
            <w:pPr>
              <w:widowControl w:val="0"/>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1,200</w:t>
            </w:r>
          </w:p>
        </w:tc>
        <w:tc>
          <w:tcPr>
            <w:tcW w:w="2592"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rsidR="00527F22" w:rsidRDefault="00EC1D80">
            <w:pPr>
              <w:widowControl w:val="0"/>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$45.92</w:t>
            </w:r>
          </w:p>
        </w:tc>
      </w:tr>
      <w:tr w:rsidR="00527F22">
        <w:trPr>
          <w:trHeight w:val="200"/>
        </w:trPr>
        <w:tc>
          <w:tcPr>
            <w:tcW w:w="3060" w:type="dxa"/>
            <w:tcMar>
              <w:top w:w="140" w:type="dxa"/>
              <w:left w:w="140" w:type="dxa"/>
              <w:bottom w:w="140" w:type="dxa"/>
              <w:right w:w="140" w:type="dxa"/>
            </w:tcMar>
          </w:tcPr>
          <w:p w:rsidR="00527F22" w:rsidRDefault="00EC1D80">
            <w:pPr>
              <w:widowControl w:val="0"/>
              <w:spacing w:line="240" w:lineRule="auto"/>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Oclaro</w:t>
            </w:r>
            <w:proofErr w:type="spellEnd"/>
          </w:p>
        </w:tc>
        <w:tc>
          <w:tcPr>
            <w:tcW w:w="2475" w:type="dxa"/>
            <w:tcMar>
              <w:top w:w="140" w:type="dxa"/>
              <w:left w:w="140" w:type="dxa"/>
              <w:bottom w:w="140" w:type="dxa"/>
              <w:right w:w="140" w:type="dxa"/>
            </w:tcMar>
          </w:tcPr>
          <w:p w:rsidR="00527F22" w:rsidRDefault="00EC1D80">
            <w:pPr>
              <w:widowControl w:val="0"/>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341.3M</w:t>
            </w:r>
            <w:proofErr w:type="spellEnd"/>
          </w:p>
        </w:tc>
        <w:tc>
          <w:tcPr>
            <w:tcW w:w="2250" w:type="dxa"/>
            <w:tcBorders>
              <w:right w:val="single" w:sz="8" w:space="0" w:color="9E9E9E"/>
            </w:tcBorders>
            <w:tcMar>
              <w:top w:w="140" w:type="dxa"/>
              <w:left w:w="140" w:type="dxa"/>
              <w:bottom w:w="140" w:type="dxa"/>
              <w:right w:w="140" w:type="dxa"/>
            </w:tcMar>
          </w:tcPr>
          <w:p w:rsidR="00527F22" w:rsidRDefault="00EC1D80">
            <w:pPr>
              <w:widowControl w:val="0"/>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1,200</w:t>
            </w:r>
          </w:p>
        </w:tc>
        <w:tc>
          <w:tcPr>
            <w:tcW w:w="2592"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rsidR="00527F22" w:rsidRDefault="00EC1D80">
            <w:pPr>
              <w:widowControl w:val="0"/>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$8.88</w:t>
            </w:r>
          </w:p>
        </w:tc>
      </w:tr>
      <w:tr w:rsidR="00527F22">
        <w:trPr>
          <w:trHeight w:val="200"/>
        </w:trPr>
        <w:tc>
          <w:tcPr>
            <w:tcW w:w="3060" w:type="dxa"/>
            <w:shd w:val="clear" w:color="auto" w:fill="FFFF00"/>
            <w:tcMar>
              <w:top w:w="140" w:type="dxa"/>
              <w:left w:w="140" w:type="dxa"/>
              <w:bottom w:w="140" w:type="dxa"/>
              <w:right w:w="140" w:type="dxa"/>
            </w:tcMar>
          </w:tcPr>
          <w:p w:rsidR="00527F22" w:rsidRDefault="00EC1D80">
            <w:pPr>
              <w:widowControl w:val="0"/>
              <w:spacing w:line="240" w:lineRule="auto"/>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Neophotonics</w:t>
            </w:r>
            <w:proofErr w:type="spellEnd"/>
          </w:p>
        </w:tc>
        <w:tc>
          <w:tcPr>
            <w:tcW w:w="2475" w:type="dxa"/>
            <w:shd w:val="clear" w:color="auto" w:fill="FFFF00"/>
            <w:tcMar>
              <w:top w:w="140" w:type="dxa"/>
              <w:left w:w="140" w:type="dxa"/>
              <w:bottom w:w="140" w:type="dxa"/>
              <w:right w:w="140" w:type="dxa"/>
            </w:tcMar>
          </w:tcPr>
          <w:p w:rsidR="00527F22" w:rsidRDefault="00EC1D80">
            <w:pPr>
              <w:widowControl w:val="0"/>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339.4M</w:t>
            </w:r>
            <w:proofErr w:type="spellEnd"/>
          </w:p>
        </w:tc>
        <w:tc>
          <w:tcPr>
            <w:tcW w:w="2250" w:type="dxa"/>
            <w:tcBorders>
              <w:right w:val="single" w:sz="8" w:space="0" w:color="9E9E9E"/>
            </w:tcBorders>
            <w:shd w:val="clear" w:color="auto" w:fill="FFFF00"/>
            <w:tcMar>
              <w:top w:w="140" w:type="dxa"/>
              <w:left w:w="140" w:type="dxa"/>
              <w:bottom w:w="140" w:type="dxa"/>
              <w:right w:w="140" w:type="dxa"/>
            </w:tcMar>
          </w:tcPr>
          <w:p w:rsidR="00527F22" w:rsidRDefault="00EC1D80">
            <w:pPr>
              <w:widowControl w:val="0"/>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2,300</w:t>
            </w:r>
          </w:p>
        </w:tc>
        <w:tc>
          <w:tcPr>
            <w:tcW w:w="2592" w:type="dxa"/>
            <w:tcBorders>
              <w:top w:val="single" w:sz="8" w:space="0" w:color="9E9E9E"/>
              <w:left w:val="single" w:sz="8" w:space="0" w:color="9E9E9E"/>
              <w:bottom w:val="single" w:sz="8" w:space="0" w:color="9E9E9E"/>
              <w:right w:val="single" w:sz="8" w:space="0" w:color="9E9E9E"/>
            </w:tcBorders>
            <w:shd w:val="clear" w:color="auto" w:fill="FFFF00"/>
            <w:tcMar>
              <w:top w:w="140" w:type="dxa"/>
              <w:left w:w="140" w:type="dxa"/>
              <w:bottom w:w="140" w:type="dxa"/>
              <w:right w:w="140" w:type="dxa"/>
            </w:tcMar>
          </w:tcPr>
          <w:p w:rsidR="00527F22" w:rsidRDefault="00EC1D80">
            <w:pPr>
              <w:widowControl w:val="0"/>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$ 9.72</w:t>
            </w:r>
          </w:p>
        </w:tc>
      </w:tr>
      <w:tr w:rsidR="00527F22">
        <w:trPr>
          <w:trHeight w:val="200"/>
        </w:trPr>
        <w:tc>
          <w:tcPr>
            <w:tcW w:w="3060" w:type="dxa"/>
            <w:tcMar>
              <w:top w:w="140" w:type="dxa"/>
              <w:left w:w="140" w:type="dxa"/>
              <w:bottom w:w="140" w:type="dxa"/>
              <w:right w:w="140" w:type="dxa"/>
            </w:tcMar>
          </w:tcPr>
          <w:p w:rsidR="00527F22" w:rsidRDefault="00EC1D80">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Applied Optoelectronics</w:t>
            </w:r>
          </w:p>
        </w:tc>
        <w:tc>
          <w:tcPr>
            <w:tcW w:w="2475" w:type="dxa"/>
            <w:tcMar>
              <w:top w:w="140" w:type="dxa"/>
              <w:left w:w="140" w:type="dxa"/>
              <w:bottom w:w="140" w:type="dxa"/>
              <w:right w:w="140" w:type="dxa"/>
            </w:tcMar>
          </w:tcPr>
          <w:p w:rsidR="00527F22" w:rsidRDefault="00EC1D80">
            <w:pPr>
              <w:widowControl w:val="0"/>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189.9M</w:t>
            </w:r>
            <w:proofErr w:type="spellEnd"/>
          </w:p>
        </w:tc>
        <w:tc>
          <w:tcPr>
            <w:tcW w:w="2250" w:type="dxa"/>
            <w:tcBorders>
              <w:right w:val="single" w:sz="8" w:space="0" w:color="9E9E9E"/>
            </w:tcBorders>
            <w:tcMar>
              <w:top w:w="140" w:type="dxa"/>
              <w:left w:w="140" w:type="dxa"/>
              <w:bottom w:w="140" w:type="dxa"/>
              <w:right w:w="140" w:type="dxa"/>
            </w:tcMar>
          </w:tcPr>
          <w:p w:rsidR="00527F22" w:rsidRDefault="00EC1D80">
            <w:pPr>
              <w:widowControl w:val="0"/>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tc>
        <w:tc>
          <w:tcPr>
            <w:tcW w:w="2592"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rsidR="00527F22" w:rsidRDefault="00EC1D80">
            <w:pPr>
              <w:widowControl w:val="0"/>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$49.23</w:t>
            </w:r>
          </w:p>
        </w:tc>
      </w:tr>
      <w:tr w:rsidR="00527F22">
        <w:trPr>
          <w:trHeight w:val="220"/>
        </w:trPr>
        <w:tc>
          <w:tcPr>
            <w:tcW w:w="3060" w:type="dxa"/>
            <w:tcMar>
              <w:top w:w="140" w:type="dxa"/>
              <w:left w:w="140" w:type="dxa"/>
              <w:bottom w:w="140" w:type="dxa"/>
              <w:right w:w="140" w:type="dxa"/>
            </w:tcMar>
          </w:tcPr>
          <w:p w:rsidR="00527F22" w:rsidRDefault="00EC1D80">
            <w:pPr>
              <w:widowControl w:val="0"/>
              <w:spacing w:line="240" w:lineRule="auto"/>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Kaiam</w:t>
            </w:r>
            <w:proofErr w:type="spellEnd"/>
          </w:p>
        </w:tc>
        <w:tc>
          <w:tcPr>
            <w:tcW w:w="2475" w:type="dxa"/>
            <w:tcMar>
              <w:top w:w="140" w:type="dxa"/>
              <w:left w:w="140" w:type="dxa"/>
              <w:bottom w:w="140" w:type="dxa"/>
              <w:right w:w="140" w:type="dxa"/>
            </w:tcMar>
          </w:tcPr>
          <w:p w:rsidR="00527F22" w:rsidRDefault="00EC1D80">
            <w:pPr>
              <w:widowControl w:val="0"/>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17.5M</w:t>
            </w:r>
            <w:proofErr w:type="spellEnd"/>
          </w:p>
        </w:tc>
        <w:tc>
          <w:tcPr>
            <w:tcW w:w="2250" w:type="dxa"/>
            <w:tcBorders>
              <w:right w:val="single" w:sz="8" w:space="0" w:color="9E9E9E"/>
            </w:tcBorders>
            <w:tcMar>
              <w:top w:w="140" w:type="dxa"/>
              <w:left w:w="140" w:type="dxa"/>
              <w:bottom w:w="140" w:type="dxa"/>
              <w:right w:w="140" w:type="dxa"/>
            </w:tcMar>
          </w:tcPr>
          <w:p w:rsidR="00527F22" w:rsidRDefault="00EC1D80">
            <w:pPr>
              <w:widowControl w:val="0"/>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c>
          <w:tcPr>
            <w:tcW w:w="2592"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rsidR="00527F22" w:rsidRDefault="00EC1D80">
            <w:pPr>
              <w:widowControl w:val="0"/>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Private Company</w:t>
            </w:r>
          </w:p>
        </w:tc>
      </w:tr>
    </w:tbl>
    <w:p w:rsidR="00527F22" w:rsidRDefault="00527F22">
      <w:pPr>
        <w:rPr>
          <w:rFonts w:ascii="Times New Roman" w:eastAsia="Times New Roman" w:hAnsi="Times New Roman" w:cs="Times New Roman"/>
          <w:sz w:val="24"/>
          <w:szCs w:val="24"/>
        </w:rPr>
      </w:pPr>
    </w:p>
    <w:p w:rsidR="00527F22" w:rsidRDefault="00EC1D80">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NeoPhotonics</w:t>
      </w:r>
      <w:proofErr w:type="spellEnd"/>
      <w:r>
        <w:rPr>
          <w:rFonts w:ascii="Times New Roman" w:eastAsia="Times New Roman" w:hAnsi="Times New Roman" w:cs="Times New Roman"/>
          <w:sz w:val="24"/>
          <w:szCs w:val="24"/>
        </w:rPr>
        <w:t xml:space="preserve"> also faces competition from some of their customers, including Huawei and its affiliate, </w:t>
      </w:r>
      <w:proofErr w:type="spellStart"/>
      <w:r>
        <w:rPr>
          <w:rFonts w:ascii="Times New Roman" w:eastAsia="Times New Roman" w:hAnsi="Times New Roman" w:cs="Times New Roman"/>
          <w:sz w:val="24"/>
          <w:szCs w:val="24"/>
        </w:rPr>
        <w:t>HiSilicon</w:t>
      </w:r>
      <w:proofErr w:type="spellEnd"/>
      <w:r>
        <w:rPr>
          <w:rFonts w:ascii="Times New Roman" w:eastAsia="Times New Roman" w:hAnsi="Times New Roman" w:cs="Times New Roman"/>
          <w:sz w:val="24"/>
          <w:szCs w:val="24"/>
        </w:rPr>
        <w:t xml:space="preserve">. This company has the ability to evaluate </w:t>
      </w:r>
      <w:proofErr w:type="spellStart"/>
      <w:r>
        <w:rPr>
          <w:rFonts w:ascii="Times New Roman" w:eastAsia="Times New Roman" w:hAnsi="Times New Roman" w:cs="Times New Roman"/>
          <w:sz w:val="24"/>
          <w:szCs w:val="24"/>
        </w:rPr>
        <w:t>NeoPhotonics</w:t>
      </w:r>
      <w:proofErr w:type="spellEnd"/>
      <w:r>
        <w:rPr>
          <w:rFonts w:ascii="Times New Roman" w:eastAsia="Times New Roman" w:hAnsi="Times New Roman" w:cs="Times New Roman"/>
          <w:sz w:val="24"/>
          <w:szCs w:val="24"/>
        </w:rPr>
        <w:t xml:space="preserve"> capabilities against their own capabilities.  If they find that they can produce their ow</w:t>
      </w:r>
      <w:r>
        <w:rPr>
          <w:rFonts w:ascii="Times New Roman" w:eastAsia="Times New Roman" w:hAnsi="Times New Roman" w:cs="Times New Roman"/>
          <w:sz w:val="24"/>
          <w:szCs w:val="24"/>
        </w:rPr>
        <w:t xml:space="preserve">n products to best suit their needs they have the ability to manufacture competitive products at a lower cost than </w:t>
      </w:r>
      <w:proofErr w:type="spellStart"/>
      <w:r>
        <w:rPr>
          <w:rFonts w:ascii="Times New Roman" w:eastAsia="Times New Roman" w:hAnsi="Times New Roman" w:cs="Times New Roman"/>
          <w:sz w:val="24"/>
          <w:szCs w:val="24"/>
        </w:rPr>
        <w:t>NeoPhotonics</w:t>
      </w:r>
      <w:proofErr w:type="spellEnd"/>
      <w:r>
        <w:rPr>
          <w:rFonts w:ascii="Times New Roman" w:eastAsia="Times New Roman" w:hAnsi="Times New Roman" w:cs="Times New Roman"/>
          <w:sz w:val="24"/>
          <w:szCs w:val="24"/>
        </w:rPr>
        <w:t xml:space="preserve"> would charge as a result of their higher levels of integration. As a result, these customers may purchase less of </w:t>
      </w:r>
      <w:proofErr w:type="spellStart"/>
      <w:r>
        <w:rPr>
          <w:rFonts w:ascii="Times New Roman" w:eastAsia="Times New Roman" w:hAnsi="Times New Roman" w:cs="Times New Roman"/>
          <w:sz w:val="24"/>
          <w:szCs w:val="24"/>
        </w:rPr>
        <w:t>NeoPhotonic</w:t>
      </w:r>
      <w:proofErr w:type="spellEnd"/>
      <w:r>
        <w:rPr>
          <w:rFonts w:ascii="Times New Roman" w:eastAsia="Times New Roman" w:hAnsi="Times New Roman" w:cs="Times New Roman"/>
          <w:sz w:val="24"/>
          <w:szCs w:val="24"/>
        </w:rPr>
        <w:t xml:space="preserve"> pr</w:t>
      </w:r>
      <w:r>
        <w:rPr>
          <w:rFonts w:ascii="Times New Roman" w:eastAsia="Times New Roman" w:hAnsi="Times New Roman" w:cs="Times New Roman"/>
          <w:sz w:val="24"/>
          <w:szCs w:val="24"/>
        </w:rPr>
        <w:t xml:space="preserve">oducts and there would be additional pressure to lower </w:t>
      </w:r>
      <w:proofErr w:type="spellStart"/>
      <w:r>
        <w:rPr>
          <w:rFonts w:ascii="Times New Roman" w:eastAsia="Times New Roman" w:hAnsi="Times New Roman" w:cs="Times New Roman"/>
          <w:sz w:val="24"/>
          <w:szCs w:val="24"/>
        </w:rPr>
        <w:t>NeoPhotonic</w:t>
      </w:r>
      <w:proofErr w:type="spellEnd"/>
      <w:r>
        <w:rPr>
          <w:rFonts w:ascii="Times New Roman" w:eastAsia="Times New Roman" w:hAnsi="Times New Roman" w:cs="Times New Roman"/>
          <w:sz w:val="24"/>
          <w:szCs w:val="24"/>
        </w:rPr>
        <w:t xml:space="preserve"> selling prices. </w:t>
      </w:r>
    </w:p>
    <w:p w:rsidR="00527F22" w:rsidRDefault="00527F22">
      <w:pPr>
        <w:rPr>
          <w:rFonts w:ascii="Times New Roman" w:eastAsia="Times New Roman" w:hAnsi="Times New Roman" w:cs="Times New Roman"/>
          <w:b/>
          <w:sz w:val="24"/>
          <w:szCs w:val="24"/>
        </w:rPr>
      </w:pPr>
    </w:p>
    <w:p w:rsidR="00527F22" w:rsidRDefault="00527F22">
      <w:pPr>
        <w:rPr>
          <w:rFonts w:ascii="Times New Roman" w:eastAsia="Times New Roman" w:hAnsi="Times New Roman" w:cs="Times New Roman"/>
          <w:b/>
          <w:sz w:val="24"/>
          <w:szCs w:val="24"/>
        </w:rPr>
      </w:pPr>
    </w:p>
    <w:p w:rsidR="00527F22" w:rsidRDefault="00527F22">
      <w:pPr>
        <w:rPr>
          <w:rFonts w:ascii="Times New Roman" w:eastAsia="Times New Roman" w:hAnsi="Times New Roman" w:cs="Times New Roman"/>
          <w:b/>
          <w:sz w:val="24"/>
          <w:szCs w:val="24"/>
        </w:rPr>
      </w:pPr>
    </w:p>
    <w:p w:rsidR="00527F22" w:rsidRDefault="00527F22">
      <w:pPr>
        <w:rPr>
          <w:rFonts w:ascii="Times New Roman" w:eastAsia="Times New Roman" w:hAnsi="Times New Roman" w:cs="Times New Roman"/>
          <w:b/>
          <w:sz w:val="24"/>
          <w:szCs w:val="24"/>
        </w:rPr>
      </w:pPr>
    </w:p>
    <w:p w:rsidR="00527F22" w:rsidRDefault="00EC1D8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Valuation and Financial Analysis:</w:t>
      </w:r>
    </w:p>
    <w:p w:rsidR="00527F22" w:rsidRDefault="00527F22">
      <w:pPr>
        <w:rPr>
          <w:rFonts w:ascii="Times New Roman" w:eastAsia="Times New Roman" w:hAnsi="Times New Roman" w:cs="Times New Roman"/>
          <w:b/>
          <w:sz w:val="24"/>
          <w:szCs w:val="24"/>
        </w:rPr>
      </w:pPr>
    </w:p>
    <w:p w:rsidR="00527F22" w:rsidRDefault="00EC1D8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Historically, the first quarter revenue is generally seasonally lower than the rest of the year.  This is primarily due to lower capa</w:t>
      </w:r>
      <w:r>
        <w:rPr>
          <w:rFonts w:ascii="Times New Roman" w:eastAsia="Times New Roman" w:hAnsi="Times New Roman" w:cs="Times New Roman"/>
          <w:sz w:val="24"/>
          <w:szCs w:val="24"/>
        </w:rPr>
        <w:t>city utilization during the holidays in China and the impact of price negotiations conducted at the end of each calendar year. This historical pattern is important in recognizing the typical annual distribution of revenue from quarter to quarter through th</w:t>
      </w:r>
      <w:r>
        <w:rPr>
          <w:rFonts w:ascii="Times New Roman" w:eastAsia="Times New Roman" w:hAnsi="Times New Roman" w:cs="Times New Roman"/>
          <w:sz w:val="24"/>
          <w:szCs w:val="24"/>
        </w:rPr>
        <w:t xml:space="preserve">e year.  That said, it varies markedly year to year so should not be considered a reliable indicator of </w:t>
      </w:r>
      <w:proofErr w:type="spellStart"/>
      <w:r>
        <w:rPr>
          <w:rFonts w:ascii="Times New Roman" w:eastAsia="Times New Roman" w:hAnsi="Times New Roman" w:cs="Times New Roman"/>
          <w:sz w:val="24"/>
          <w:szCs w:val="24"/>
        </w:rPr>
        <w:t>NeoPhotonics</w:t>
      </w:r>
      <w:proofErr w:type="spellEnd"/>
      <w:r>
        <w:rPr>
          <w:rFonts w:ascii="Times New Roman" w:eastAsia="Times New Roman" w:hAnsi="Times New Roman" w:cs="Times New Roman"/>
          <w:sz w:val="24"/>
          <w:szCs w:val="24"/>
        </w:rPr>
        <w:t xml:space="preserve"> future revenue or financial performance. </w:t>
      </w:r>
    </w:p>
    <w:p w:rsidR="00527F22" w:rsidRDefault="00527F22">
      <w:pPr>
        <w:widowControl w:val="0"/>
      </w:pPr>
    </w:p>
    <w:tbl>
      <w:tblPr>
        <w:tblStyle w:val="a0"/>
        <w:tblW w:w="9690" w:type="dxa"/>
        <w:tblInd w:w="-75"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2400"/>
        <w:gridCol w:w="2265"/>
        <w:gridCol w:w="2565"/>
        <w:gridCol w:w="2460"/>
      </w:tblGrid>
      <w:tr w:rsidR="00527F22">
        <w:trPr>
          <w:trHeight w:val="1100"/>
        </w:trPr>
        <w:tc>
          <w:tcPr>
            <w:tcW w:w="2400" w:type="dxa"/>
            <w:tcBorders>
              <w:right w:val="single" w:sz="8" w:space="0" w:color="9E9E9E"/>
            </w:tcBorders>
            <w:tcMar>
              <w:top w:w="140" w:type="dxa"/>
              <w:left w:w="140" w:type="dxa"/>
              <w:bottom w:w="140" w:type="dxa"/>
              <w:right w:w="140" w:type="dxa"/>
            </w:tcMar>
          </w:tcPr>
          <w:p w:rsidR="00527F22" w:rsidRDefault="00EC1D80">
            <w:pPr>
              <w:widowControl w:val="0"/>
              <w:spacing w:line="240" w:lineRule="auto"/>
              <w:contextualSpacing w:val="0"/>
              <w:rPr>
                <w:b/>
                <w:sz w:val="28"/>
                <w:szCs w:val="28"/>
              </w:rPr>
            </w:pPr>
            <w:r>
              <w:rPr>
                <w:b/>
                <w:sz w:val="28"/>
                <w:szCs w:val="28"/>
              </w:rPr>
              <w:t>Company</w:t>
            </w:r>
          </w:p>
        </w:tc>
        <w:tc>
          <w:tcPr>
            <w:tcW w:w="2265"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rsidR="00527F22" w:rsidRDefault="00EC1D80">
            <w:pPr>
              <w:widowControl w:val="0"/>
              <w:spacing w:line="240" w:lineRule="auto"/>
              <w:contextualSpacing w:val="0"/>
              <w:rPr>
                <w:b/>
                <w:sz w:val="28"/>
                <w:szCs w:val="28"/>
              </w:rPr>
            </w:pPr>
            <w:r>
              <w:rPr>
                <w:b/>
                <w:sz w:val="28"/>
                <w:szCs w:val="28"/>
              </w:rPr>
              <w:t>Estimated Revenue</w:t>
            </w:r>
          </w:p>
        </w:tc>
        <w:tc>
          <w:tcPr>
            <w:tcW w:w="2565" w:type="dxa"/>
            <w:tcBorders>
              <w:left w:val="single" w:sz="8" w:space="0" w:color="9E9E9E"/>
              <w:right w:val="single" w:sz="8" w:space="0" w:color="9E9E9E"/>
            </w:tcBorders>
            <w:tcMar>
              <w:top w:w="140" w:type="dxa"/>
              <w:left w:w="140" w:type="dxa"/>
              <w:bottom w:w="140" w:type="dxa"/>
              <w:right w:w="140" w:type="dxa"/>
            </w:tcMar>
          </w:tcPr>
          <w:p w:rsidR="00527F22" w:rsidRDefault="00EC1D80">
            <w:pPr>
              <w:widowControl w:val="0"/>
              <w:spacing w:line="240" w:lineRule="auto"/>
              <w:contextualSpacing w:val="0"/>
              <w:jc w:val="center"/>
              <w:rPr>
                <w:b/>
                <w:sz w:val="28"/>
                <w:szCs w:val="28"/>
              </w:rPr>
            </w:pPr>
            <w:r>
              <w:rPr>
                <w:b/>
                <w:sz w:val="28"/>
                <w:szCs w:val="28"/>
              </w:rPr>
              <w:t>Number of Shares</w:t>
            </w:r>
          </w:p>
        </w:tc>
        <w:tc>
          <w:tcPr>
            <w:tcW w:w="2460" w:type="dxa"/>
            <w:tcBorders>
              <w:left w:val="single" w:sz="8" w:space="0" w:color="9E9E9E"/>
            </w:tcBorders>
            <w:tcMar>
              <w:top w:w="140" w:type="dxa"/>
              <w:left w:w="140" w:type="dxa"/>
              <w:bottom w:w="140" w:type="dxa"/>
              <w:right w:w="140" w:type="dxa"/>
            </w:tcMar>
          </w:tcPr>
          <w:p w:rsidR="00527F22" w:rsidRDefault="00EC1D80">
            <w:pPr>
              <w:widowControl w:val="0"/>
              <w:spacing w:line="240" w:lineRule="auto"/>
              <w:contextualSpacing w:val="0"/>
              <w:jc w:val="center"/>
              <w:rPr>
                <w:b/>
                <w:sz w:val="28"/>
                <w:szCs w:val="28"/>
              </w:rPr>
            </w:pPr>
            <w:r>
              <w:rPr>
                <w:b/>
                <w:sz w:val="28"/>
                <w:szCs w:val="28"/>
              </w:rPr>
              <w:t>EPS (latest data)</w:t>
            </w:r>
          </w:p>
        </w:tc>
      </w:tr>
      <w:tr w:rsidR="00527F22">
        <w:trPr>
          <w:trHeight w:val="620"/>
        </w:trPr>
        <w:tc>
          <w:tcPr>
            <w:tcW w:w="2400" w:type="dxa"/>
            <w:tcBorders>
              <w:right w:val="single" w:sz="8" w:space="0" w:color="9E9E9E"/>
            </w:tcBorders>
            <w:tcMar>
              <w:top w:w="140" w:type="dxa"/>
              <w:left w:w="140" w:type="dxa"/>
              <w:bottom w:w="140" w:type="dxa"/>
              <w:right w:w="140" w:type="dxa"/>
            </w:tcMar>
          </w:tcPr>
          <w:p w:rsidR="00527F22" w:rsidRDefault="00EC1D80">
            <w:pPr>
              <w:widowControl w:val="0"/>
              <w:spacing w:line="240" w:lineRule="auto"/>
              <w:contextualSpacing w:val="0"/>
              <w:rPr>
                <w:sz w:val="28"/>
                <w:szCs w:val="28"/>
              </w:rPr>
            </w:pPr>
            <w:r>
              <w:rPr>
                <w:sz w:val="28"/>
                <w:szCs w:val="28"/>
              </w:rPr>
              <w:t>M/A-COM</w:t>
            </w:r>
          </w:p>
        </w:tc>
        <w:tc>
          <w:tcPr>
            <w:tcW w:w="2265"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rsidR="00527F22" w:rsidRDefault="00EC1D80">
            <w:pPr>
              <w:widowControl w:val="0"/>
              <w:spacing w:line="240" w:lineRule="auto"/>
              <w:contextualSpacing w:val="0"/>
              <w:jc w:val="center"/>
              <w:rPr>
                <w:sz w:val="28"/>
                <w:szCs w:val="28"/>
              </w:rPr>
            </w:pPr>
            <w:r>
              <w:rPr>
                <w:sz w:val="28"/>
                <w:szCs w:val="28"/>
              </w:rPr>
              <w:t>$</w:t>
            </w:r>
            <w:proofErr w:type="spellStart"/>
            <w:r>
              <w:rPr>
                <w:sz w:val="28"/>
                <w:szCs w:val="28"/>
              </w:rPr>
              <w:t>420.6M</w:t>
            </w:r>
            <w:proofErr w:type="spellEnd"/>
          </w:p>
        </w:tc>
        <w:tc>
          <w:tcPr>
            <w:tcW w:w="2565" w:type="dxa"/>
            <w:tcBorders>
              <w:left w:val="single" w:sz="8" w:space="0" w:color="9E9E9E"/>
              <w:right w:val="single" w:sz="8" w:space="0" w:color="9E9E9E"/>
            </w:tcBorders>
            <w:tcMar>
              <w:top w:w="140" w:type="dxa"/>
              <w:left w:w="140" w:type="dxa"/>
              <w:bottom w:w="140" w:type="dxa"/>
              <w:right w:w="140" w:type="dxa"/>
            </w:tcMar>
          </w:tcPr>
          <w:p w:rsidR="00527F22" w:rsidRDefault="00EC1D80">
            <w:pPr>
              <w:widowControl w:val="0"/>
              <w:spacing w:line="240" w:lineRule="auto"/>
              <w:contextualSpacing w:val="0"/>
              <w:jc w:val="center"/>
              <w:rPr>
                <w:color w:val="202729"/>
                <w:sz w:val="28"/>
                <w:szCs w:val="28"/>
              </w:rPr>
            </w:pPr>
            <w:r>
              <w:rPr>
                <w:color w:val="202729"/>
                <w:sz w:val="28"/>
                <w:szCs w:val="28"/>
              </w:rPr>
              <w:t>350,266</w:t>
            </w:r>
          </w:p>
        </w:tc>
        <w:tc>
          <w:tcPr>
            <w:tcW w:w="2460" w:type="dxa"/>
            <w:tcBorders>
              <w:left w:val="single" w:sz="8" w:space="0" w:color="9E9E9E"/>
            </w:tcBorders>
            <w:tcMar>
              <w:top w:w="140" w:type="dxa"/>
              <w:left w:w="140" w:type="dxa"/>
              <w:bottom w:w="140" w:type="dxa"/>
              <w:right w:w="140" w:type="dxa"/>
            </w:tcMar>
          </w:tcPr>
          <w:p w:rsidR="00527F22" w:rsidRDefault="00EC1D80">
            <w:pPr>
              <w:widowControl w:val="0"/>
              <w:spacing w:line="240" w:lineRule="auto"/>
              <w:contextualSpacing w:val="0"/>
              <w:jc w:val="center"/>
              <w:rPr>
                <w:color w:val="980000"/>
                <w:sz w:val="28"/>
                <w:szCs w:val="28"/>
              </w:rPr>
            </w:pPr>
            <w:r>
              <w:rPr>
                <w:color w:val="980000"/>
                <w:sz w:val="28"/>
                <w:szCs w:val="28"/>
              </w:rPr>
              <w:t>-$.02</w:t>
            </w:r>
          </w:p>
        </w:tc>
      </w:tr>
      <w:tr w:rsidR="00527F22">
        <w:trPr>
          <w:trHeight w:val="600"/>
        </w:trPr>
        <w:tc>
          <w:tcPr>
            <w:tcW w:w="2400" w:type="dxa"/>
            <w:tcBorders>
              <w:right w:val="single" w:sz="8" w:space="0" w:color="9E9E9E"/>
            </w:tcBorders>
            <w:tcMar>
              <w:top w:w="140" w:type="dxa"/>
              <w:left w:w="140" w:type="dxa"/>
              <w:bottom w:w="140" w:type="dxa"/>
              <w:right w:w="140" w:type="dxa"/>
            </w:tcMar>
          </w:tcPr>
          <w:p w:rsidR="00527F22" w:rsidRDefault="00EC1D80">
            <w:pPr>
              <w:widowControl w:val="0"/>
              <w:spacing w:line="240" w:lineRule="auto"/>
              <w:contextualSpacing w:val="0"/>
              <w:rPr>
                <w:sz w:val="28"/>
                <w:szCs w:val="28"/>
              </w:rPr>
            </w:pPr>
            <w:proofErr w:type="spellStart"/>
            <w:r>
              <w:rPr>
                <w:sz w:val="28"/>
                <w:szCs w:val="28"/>
              </w:rPr>
              <w:t>Oclaro</w:t>
            </w:r>
            <w:proofErr w:type="spellEnd"/>
          </w:p>
        </w:tc>
        <w:tc>
          <w:tcPr>
            <w:tcW w:w="2265"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rsidR="00527F22" w:rsidRDefault="00EC1D80">
            <w:pPr>
              <w:widowControl w:val="0"/>
              <w:spacing w:line="240" w:lineRule="auto"/>
              <w:contextualSpacing w:val="0"/>
              <w:jc w:val="center"/>
              <w:rPr>
                <w:sz w:val="28"/>
                <w:szCs w:val="28"/>
              </w:rPr>
            </w:pPr>
            <w:r>
              <w:rPr>
                <w:sz w:val="28"/>
                <w:szCs w:val="28"/>
              </w:rPr>
              <w:t>$</w:t>
            </w:r>
            <w:proofErr w:type="spellStart"/>
            <w:r>
              <w:rPr>
                <w:sz w:val="28"/>
                <w:szCs w:val="28"/>
              </w:rPr>
              <w:t>341.3M</w:t>
            </w:r>
            <w:proofErr w:type="spellEnd"/>
          </w:p>
        </w:tc>
        <w:tc>
          <w:tcPr>
            <w:tcW w:w="2565" w:type="dxa"/>
            <w:tcBorders>
              <w:left w:val="single" w:sz="8" w:space="0" w:color="9E9E9E"/>
              <w:right w:val="single" w:sz="8" w:space="0" w:color="9E9E9E"/>
            </w:tcBorders>
            <w:tcMar>
              <w:top w:w="140" w:type="dxa"/>
              <w:left w:w="140" w:type="dxa"/>
              <w:bottom w:w="140" w:type="dxa"/>
              <w:right w:w="140" w:type="dxa"/>
            </w:tcMar>
          </w:tcPr>
          <w:p w:rsidR="00527F22" w:rsidRDefault="00EC1D80">
            <w:pPr>
              <w:widowControl w:val="0"/>
              <w:spacing w:line="240" w:lineRule="auto"/>
              <w:contextualSpacing w:val="0"/>
              <w:jc w:val="center"/>
              <w:rPr>
                <w:color w:val="202729"/>
                <w:sz w:val="28"/>
                <w:szCs w:val="28"/>
              </w:rPr>
            </w:pPr>
            <w:r>
              <w:rPr>
                <w:color w:val="202729"/>
                <w:sz w:val="28"/>
                <w:szCs w:val="28"/>
              </w:rPr>
              <w:t>15,458,484</w:t>
            </w:r>
          </w:p>
        </w:tc>
        <w:tc>
          <w:tcPr>
            <w:tcW w:w="2460" w:type="dxa"/>
            <w:tcBorders>
              <w:left w:val="single" w:sz="8" w:space="0" w:color="9E9E9E"/>
            </w:tcBorders>
            <w:tcMar>
              <w:top w:w="140" w:type="dxa"/>
              <w:left w:w="140" w:type="dxa"/>
              <w:bottom w:w="140" w:type="dxa"/>
              <w:right w:w="140" w:type="dxa"/>
            </w:tcMar>
          </w:tcPr>
          <w:p w:rsidR="00527F22" w:rsidRDefault="00EC1D80">
            <w:pPr>
              <w:widowControl w:val="0"/>
              <w:spacing w:line="240" w:lineRule="auto"/>
              <w:contextualSpacing w:val="0"/>
              <w:jc w:val="center"/>
              <w:rPr>
                <w:color w:val="38761D"/>
                <w:sz w:val="28"/>
                <w:szCs w:val="28"/>
              </w:rPr>
            </w:pPr>
            <w:r>
              <w:rPr>
                <w:color w:val="38761D"/>
                <w:sz w:val="28"/>
                <w:szCs w:val="28"/>
              </w:rPr>
              <w:t>$.17</w:t>
            </w:r>
          </w:p>
        </w:tc>
      </w:tr>
      <w:tr w:rsidR="00527F22">
        <w:trPr>
          <w:trHeight w:val="620"/>
        </w:trPr>
        <w:tc>
          <w:tcPr>
            <w:tcW w:w="2400" w:type="dxa"/>
            <w:tcBorders>
              <w:right w:val="single" w:sz="8" w:space="0" w:color="9E9E9E"/>
            </w:tcBorders>
            <w:shd w:val="clear" w:color="auto" w:fill="FFFF00"/>
            <w:tcMar>
              <w:top w:w="140" w:type="dxa"/>
              <w:left w:w="140" w:type="dxa"/>
              <w:bottom w:w="140" w:type="dxa"/>
              <w:right w:w="140" w:type="dxa"/>
            </w:tcMar>
          </w:tcPr>
          <w:p w:rsidR="00527F22" w:rsidRDefault="00EC1D80">
            <w:pPr>
              <w:widowControl w:val="0"/>
              <w:spacing w:line="240" w:lineRule="auto"/>
              <w:contextualSpacing w:val="0"/>
              <w:rPr>
                <w:sz w:val="28"/>
                <w:szCs w:val="28"/>
              </w:rPr>
            </w:pPr>
            <w:proofErr w:type="spellStart"/>
            <w:r>
              <w:rPr>
                <w:sz w:val="28"/>
                <w:szCs w:val="28"/>
              </w:rPr>
              <w:t>Neophotonics</w:t>
            </w:r>
            <w:proofErr w:type="spellEnd"/>
          </w:p>
        </w:tc>
        <w:tc>
          <w:tcPr>
            <w:tcW w:w="2265" w:type="dxa"/>
            <w:tcBorders>
              <w:top w:val="single" w:sz="8" w:space="0" w:color="9E9E9E"/>
              <w:left w:val="single" w:sz="8" w:space="0" w:color="9E9E9E"/>
              <w:bottom w:val="single" w:sz="8" w:space="0" w:color="9E9E9E"/>
              <w:right w:val="single" w:sz="8" w:space="0" w:color="9E9E9E"/>
            </w:tcBorders>
            <w:shd w:val="clear" w:color="auto" w:fill="FFFF00"/>
            <w:tcMar>
              <w:top w:w="140" w:type="dxa"/>
              <w:left w:w="140" w:type="dxa"/>
              <w:bottom w:w="140" w:type="dxa"/>
              <w:right w:w="140" w:type="dxa"/>
            </w:tcMar>
          </w:tcPr>
          <w:p w:rsidR="00527F22" w:rsidRDefault="00EC1D80">
            <w:pPr>
              <w:widowControl w:val="0"/>
              <w:spacing w:line="240" w:lineRule="auto"/>
              <w:contextualSpacing w:val="0"/>
              <w:jc w:val="center"/>
              <w:rPr>
                <w:sz w:val="28"/>
                <w:szCs w:val="28"/>
              </w:rPr>
            </w:pPr>
            <w:r>
              <w:rPr>
                <w:sz w:val="28"/>
                <w:szCs w:val="28"/>
              </w:rPr>
              <w:t>$</w:t>
            </w:r>
            <w:proofErr w:type="spellStart"/>
            <w:r>
              <w:rPr>
                <w:sz w:val="28"/>
                <w:szCs w:val="28"/>
              </w:rPr>
              <w:t>339.4M</w:t>
            </w:r>
            <w:proofErr w:type="spellEnd"/>
          </w:p>
        </w:tc>
        <w:tc>
          <w:tcPr>
            <w:tcW w:w="2565" w:type="dxa"/>
            <w:tcBorders>
              <w:left w:val="single" w:sz="8" w:space="0" w:color="9E9E9E"/>
              <w:right w:val="single" w:sz="8" w:space="0" w:color="9E9E9E"/>
            </w:tcBorders>
            <w:shd w:val="clear" w:color="auto" w:fill="FFFF00"/>
            <w:tcMar>
              <w:top w:w="140" w:type="dxa"/>
              <w:left w:w="140" w:type="dxa"/>
              <w:bottom w:w="140" w:type="dxa"/>
              <w:right w:w="140" w:type="dxa"/>
            </w:tcMar>
          </w:tcPr>
          <w:p w:rsidR="00527F22" w:rsidRDefault="00EC1D80">
            <w:pPr>
              <w:widowControl w:val="0"/>
              <w:spacing w:line="240" w:lineRule="auto"/>
              <w:contextualSpacing w:val="0"/>
              <w:jc w:val="center"/>
              <w:rPr>
                <w:color w:val="202729"/>
                <w:sz w:val="28"/>
                <w:szCs w:val="28"/>
              </w:rPr>
            </w:pPr>
            <w:r>
              <w:rPr>
                <w:color w:val="202729"/>
                <w:sz w:val="28"/>
                <w:szCs w:val="28"/>
              </w:rPr>
              <w:t>1,642,012</w:t>
            </w:r>
          </w:p>
        </w:tc>
        <w:tc>
          <w:tcPr>
            <w:tcW w:w="2460" w:type="dxa"/>
            <w:tcBorders>
              <w:left w:val="single" w:sz="8" w:space="0" w:color="9E9E9E"/>
            </w:tcBorders>
            <w:shd w:val="clear" w:color="auto" w:fill="FFFF00"/>
            <w:tcMar>
              <w:top w:w="140" w:type="dxa"/>
              <w:left w:w="140" w:type="dxa"/>
              <w:bottom w:w="140" w:type="dxa"/>
              <w:right w:w="140" w:type="dxa"/>
            </w:tcMar>
          </w:tcPr>
          <w:p w:rsidR="00527F22" w:rsidRDefault="00EC1D80">
            <w:pPr>
              <w:widowControl w:val="0"/>
              <w:spacing w:line="240" w:lineRule="auto"/>
              <w:contextualSpacing w:val="0"/>
              <w:jc w:val="center"/>
              <w:rPr>
                <w:color w:val="38761D"/>
                <w:sz w:val="28"/>
                <w:szCs w:val="28"/>
              </w:rPr>
            </w:pPr>
            <w:r>
              <w:rPr>
                <w:color w:val="38761D"/>
                <w:sz w:val="28"/>
                <w:szCs w:val="28"/>
              </w:rPr>
              <w:t>$.2</w:t>
            </w:r>
          </w:p>
        </w:tc>
      </w:tr>
      <w:tr w:rsidR="00527F22">
        <w:trPr>
          <w:trHeight w:val="640"/>
        </w:trPr>
        <w:tc>
          <w:tcPr>
            <w:tcW w:w="2400" w:type="dxa"/>
            <w:tcBorders>
              <w:right w:val="single" w:sz="8" w:space="0" w:color="9E9E9E"/>
            </w:tcBorders>
            <w:tcMar>
              <w:top w:w="140" w:type="dxa"/>
              <w:left w:w="140" w:type="dxa"/>
              <w:bottom w:w="140" w:type="dxa"/>
              <w:right w:w="140" w:type="dxa"/>
            </w:tcMar>
          </w:tcPr>
          <w:p w:rsidR="00527F22" w:rsidRDefault="00EC1D80">
            <w:pPr>
              <w:widowControl w:val="0"/>
              <w:spacing w:line="240" w:lineRule="auto"/>
              <w:contextualSpacing w:val="0"/>
              <w:rPr>
                <w:sz w:val="28"/>
                <w:szCs w:val="28"/>
              </w:rPr>
            </w:pPr>
            <w:r>
              <w:rPr>
                <w:sz w:val="28"/>
                <w:szCs w:val="28"/>
              </w:rPr>
              <w:t>Applied Optoelectronics</w:t>
            </w:r>
          </w:p>
        </w:tc>
        <w:tc>
          <w:tcPr>
            <w:tcW w:w="2265"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rsidR="00527F22" w:rsidRDefault="00EC1D80">
            <w:pPr>
              <w:widowControl w:val="0"/>
              <w:spacing w:line="240" w:lineRule="auto"/>
              <w:contextualSpacing w:val="0"/>
              <w:jc w:val="center"/>
              <w:rPr>
                <w:sz w:val="28"/>
                <w:szCs w:val="28"/>
              </w:rPr>
            </w:pPr>
            <w:r>
              <w:rPr>
                <w:sz w:val="28"/>
                <w:szCs w:val="28"/>
              </w:rPr>
              <w:t>$</w:t>
            </w:r>
            <w:proofErr w:type="spellStart"/>
            <w:r>
              <w:rPr>
                <w:sz w:val="28"/>
                <w:szCs w:val="28"/>
              </w:rPr>
              <w:t>189.9M</w:t>
            </w:r>
            <w:proofErr w:type="spellEnd"/>
          </w:p>
        </w:tc>
        <w:tc>
          <w:tcPr>
            <w:tcW w:w="2565" w:type="dxa"/>
            <w:tcBorders>
              <w:left w:val="single" w:sz="8" w:space="0" w:color="9E9E9E"/>
              <w:right w:val="single" w:sz="8" w:space="0" w:color="9E9E9E"/>
            </w:tcBorders>
            <w:tcMar>
              <w:top w:w="140" w:type="dxa"/>
              <w:left w:w="140" w:type="dxa"/>
              <w:bottom w:w="140" w:type="dxa"/>
              <w:right w:w="140" w:type="dxa"/>
            </w:tcMar>
          </w:tcPr>
          <w:p w:rsidR="00527F22" w:rsidRDefault="00EC1D80">
            <w:pPr>
              <w:widowControl w:val="0"/>
              <w:spacing w:line="240" w:lineRule="auto"/>
              <w:contextualSpacing w:val="0"/>
              <w:jc w:val="center"/>
              <w:rPr>
                <w:color w:val="202729"/>
                <w:sz w:val="28"/>
                <w:szCs w:val="28"/>
              </w:rPr>
            </w:pPr>
            <w:r>
              <w:rPr>
                <w:color w:val="202729"/>
                <w:sz w:val="28"/>
                <w:szCs w:val="28"/>
              </w:rPr>
              <w:t>1,824,151</w:t>
            </w:r>
          </w:p>
        </w:tc>
        <w:tc>
          <w:tcPr>
            <w:tcW w:w="2460" w:type="dxa"/>
            <w:tcBorders>
              <w:left w:val="single" w:sz="8" w:space="0" w:color="9E9E9E"/>
            </w:tcBorders>
            <w:tcMar>
              <w:top w:w="140" w:type="dxa"/>
              <w:left w:w="140" w:type="dxa"/>
              <w:bottom w:w="140" w:type="dxa"/>
              <w:right w:w="140" w:type="dxa"/>
            </w:tcMar>
          </w:tcPr>
          <w:p w:rsidR="00527F22" w:rsidRDefault="00EC1D80">
            <w:pPr>
              <w:widowControl w:val="0"/>
              <w:spacing w:line="240" w:lineRule="auto"/>
              <w:contextualSpacing w:val="0"/>
              <w:jc w:val="center"/>
              <w:rPr>
                <w:color w:val="38761D"/>
                <w:sz w:val="28"/>
                <w:szCs w:val="28"/>
              </w:rPr>
            </w:pPr>
            <w:r>
              <w:rPr>
                <w:color w:val="38761D"/>
                <w:sz w:val="28"/>
                <w:szCs w:val="28"/>
              </w:rPr>
              <w:t>$.95</w:t>
            </w:r>
          </w:p>
        </w:tc>
      </w:tr>
      <w:tr w:rsidR="00527F22">
        <w:trPr>
          <w:trHeight w:val="600"/>
        </w:trPr>
        <w:tc>
          <w:tcPr>
            <w:tcW w:w="2400" w:type="dxa"/>
            <w:tcBorders>
              <w:right w:val="single" w:sz="8" w:space="0" w:color="9E9E9E"/>
            </w:tcBorders>
            <w:tcMar>
              <w:top w:w="140" w:type="dxa"/>
              <w:left w:w="140" w:type="dxa"/>
              <w:bottom w:w="140" w:type="dxa"/>
              <w:right w:w="140" w:type="dxa"/>
            </w:tcMar>
          </w:tcPr>
          <w:p w:rsidR="00527F22" w:rsidRDefault="00EC1D80">
            <w:pPr>
              <w:widowControl w:val="0"/>
              <w:spacing w:line="240" w:lineRule="auto"/>
              <w:contextualSpacing w:val="0"/>
              <w:rPr>
                <w:sz w:val="28"/>
                <w:szCs w:val="28"/>
              </w:rPr>
            </w:pPr>
            <w:proofErr w:type="spellStart"/>
            <w:r>
              <w:rPr>
                <w:sz w:val="28"/>
                <w:szCs w:val="28"/>
              </w:rPr>
              <w:t>Kaiam</w:t>
            </w:r>
            <w:proofErr w:type="spellEnd"/>
          </w:p>
        </w:tc>
        <w:tc>
          <w:tcPr>
            <w:tcW w:w="2265"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rsidR="00527F22" w:rsidRDefault="00EC1D80">
            <w:pPr>
              <w:widowControl w:val="0"/>
              <w:spacing w:line="240" w:lineRule="auto"/>
              <w:contextualSpacing w:val="0"/>
              <w:jc w:val="center"/>
              <w:rPr>
                <w:sz w:val="28"/>
                <w:szCs w:val="28"/>
              </w:rPr>
            </w:pPr>
            <w:r>
              <w:rPr>
                <w:sz w:val="28"/>
                <w:szCs w:val="28"/>
              </w:rPr>
              <w:t>$</w:t>
            </w:r>
            <w:proofErr w:type="spellStart"/>
            <w:r>
              <w:rPr>
                <w:sz w:val="28"/>
                <w:szCs w:val="28"/>
              </w:rPr>
              <w:t>17.5M</w:t>
            </w:r>
            <w:proofErr w:type="spellEnd"/>
          </w:p>
        </w:tc>
        <w:tc>
          <w:tcPr>
            <w:tcW w:w="2565" w:type="dxa"/>
            <w:tcBorders>
              <w:left w:val="single" w:sz="8" w:space="0" w:color="9E9E9E"/>
              <w:right w:val="single" w:sz="8" w:space="0" w:color="9E9E9E"/>
            </w:tcBorders>
            <w:tcMar>
              <w:top w:w="140" w:type="dxa"/>
              <w:left w:w="140" w:type="dxa"/>
              <w:bottom w:w="140" w:type="dxa"/>
              <w:right w:w="140" w:type="dxa"/>
            </w:tcMar>
          </w:tcPr>
          <w:p w:rsidR="00527F22" w:rsidRDefault="00EC1D80">
            <w:pPr>
              <w:widowControl w:val="0"/>
              <w:spacing w:line="240" w:lineRule="auto"/>
              <w:contextualSpacing w:val="0"/>
              <w:jc w:val="center"/>
              <w:rPr>
                <w:sz w:val="28"/>
                <w:szCs w:val="28"/>
              </w:rPr>
            </w:pPr>
            <w:r>
              <w:rPr>
                <w:sz w:val="28"/>
                <w:szCs w:val="28"/>
              </w:rPr>
              <w:t>Private Company</w:t>
            </w:r>
          </w:p>
        </w:tc>
        <w:tc>
          <w:tcPr>
            <w:tcW w:w="2460" w:type="dxa"/>
            <w:tcBorders>
              <w:left w:val="single" w:sz="8" w:space="0" w:color="9E9E9E"/>
            </w:tcBorders>
            <w:tcMar>
              <w:top w:w="140" w:type="dxa"/>
              <w:left w:w="140" w:type="dxa"/>
              <w:bottom w:w="140" w:type="dxa"/>
              <w:right w:w="140" w:type="dxa"/>
            </w:tcMar>
          </w:tcPr>
          <w:p w:rsidR="00527F22" w:rsidRDefault="00527F22">
            <w:pPr>
              <w:widowControl w:val="0"/>
              <w:spacing w:line="240" w:lineRule="auto"/>
              <w:contextualSpacing w:val="0"/>
              <w:jc w:val="center"/>
              <w:rPr>
                <w:sz w:val="28"/>
                <w:szCs w:val="28"/>
              </w:rPr>
            </w:pPr>
          </w:p>
        </w:tc>
      </w:tr>
    </w:tbl>
    <w:p w:rsidR="00527F22" w:rsidRDefault="00527F22">
      <w:pPr>
        <w:rPr>
          <w:rFonts w:ascii="Times New Roman" w:eastAsia="Times New Roman" w:hAnsi="Times New Roman" w:cs="Times New Roman"/>
          <w:sz w:val="24"/>
          <w:szCs w:val="24"/>
        </w:rPr>
      </w:pPr>
    </w:p>
    <w:p w:rsidR="00527F22" w:rsidRDefault="00EC1D80">
      <w:pPr>
        <w:rPr>
          <w:rFonts w:ascii="Times New Roman" w:eastAsia="Times New Roman" w:hAnsi="Times New Roman" w:cs="Times New Roman"/>
          <w:sz w:val="24"/>
          <w:szCs w:val="24"/>
        </w:rPr>
      </w:pPr>
      <w:r>
        <w:rPr>
          <w:noProof/>
        </w:rPr>
        <w:lastRenderedPageBreak/>
        <w:drawing>
          <wp:inline distT="114300" distB="114300" distL="114300" distR="114300">
            <wp:extent cx="4800600" cy="2538413"/>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4800600" cy="2538413"/>
                    </a:xfrm>
                    <a:prstGeom prst="rect">
                      <a:avLst/>
                    </a:prstGeom>
                    <a:ln/>
                  </pic:spPr>
                </pic:pic>
              </a:graphicData>
            </a:graphic>
          </wp:inline>
        </w:drawing>
      </w:r>
    </w:p>
    <w:p w:rsidR="00527F22" w:rsidRDefault="00EC1D80">
      <w:pPr>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rPr>
        <w:t>NPTN's</w:t>
      </w:r>
      <w:proofErr w:type="spellEnd"/>
      <w:r>
        <w:rPr>
          <w:rFonts w:ascii="Times New Roman" w:eastAsia="Times New Roman" w:hAnsi="Times New Roman" w:cs="Times New Roman"/>
          <w:sz w:val="24"/>
          <w:szCs w:val="24"/>
        </w:rPr>
        <w:t xml:space="preserve"> profit margin has been consistent or even increasing over the past three years (Current year: -0.05%, Last year: 1.08%, Two years ago: -6.44%). It is a sign of good management and a healthy and competitive enterprise. </w:t>
      </w:r>
      <w:proofErr w:type="spellStart"/>
      <w:r>
        <w:rPr>
          <w:rFonts w:ascii="Times New Roman" w:eastAsia="Times New Roman" w:hAnsi="Times New Roman" w:cs="Times New Roman"/>
          <w:sz w:val="24"/>
          <w:szCs w:val="24"/>
        </w:rPr>
        <w:t>NPTN's</w:t>
      </w:r>
      <w:proofErr w:type="spellEnd"/>
      <w:r>
        <w:rPr>
          <w:rFonts w:ascii="Times New Roman" w:eastAsia="Times New Roman" w:hAnsi="Times New Roman" w:cs="Times New Roman"/>
          <w:sz w:val="24"/>
          <w:szCs w:val="24"/>
          <w:highlight w:val="white"/>
        </w:rPr>
        <w:t xml:space="preserve"> current profit margin is </w:t>
      </w:r>
      <w:r>
        <w:rPr>
          <w:rFonts w:ascii="Times New Roman" w:eastAsia="Times New Roman" w:hAnsi="Times New Roman" w:cs="Times New Roman"/>
          <w:sz w:val="24"/>
          <w:szCs w:val="24"/>
        </w:rPr>
        <w:t>-0.05%</w:t>
      </w:r>
      <w:r>
        <w:rPr>
          <w:rFonts w:ascii="Times New Roman" w:eastAsia="Times New Roman" w:hAnsi="Times New Roman" w:cs="Times New Roman"/>
          <w:sz w:val="24"/>
          <w:szCs w:val="24"/>
          <w:highlight w:val="white"/>
        </w:rPr>
        <w:t xml:space="preserve">, not in a strong situation. A true test of the quality of a company is that if they can sustain this up-trend of margin. </w:t>
      </w:r>
    </w:p>
    <w:p w:rsidR="00527F22" w:rsidRDefault="00EC1D80">
      <w:pPr>
        <w:rPr>
          <w:rFonts w:ascii="Times New Roman" w:eastAsia="Times New Roman" w:hAnsi="Times New Roman" w:cs="Times New Roman"/>
          <w:sz w:val="24"/>
          <w:szCs w:val="24"/>
        </w:rPr>
      </w:pPr>
      <w:r>
        <w:rPr>
          <w:noProof/>
        </w:rPr>
        <w:drawing>
          <wp:inline distT="114300" distB="114300" distL="114300" distR="114300">
            <wp:extent cx="4067175" cy="2466975"/>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t="1893"/>
                    <a:stretch>
                      <a:fillRect/>
                    </a:stretch>
                  </pic:blipFill>
                  <pic:spPr>
                    <a:xfrm>
                      <a:off x="0" y="0"/>
                      <a:ext cx="4067175" cy="2466975"/>
                    </a:xfrm>
                    <a:prstGeom prst="rect">
                      <a:avLst/>
                    </a:prstGeom>
                    <a:ln/>
                  </pic:spPr>
                </pic:pic>
              </a:graphicData>
            </a:graphic>
          </wp:inline>
        </w:drawing>
      </w:r>
    </w:p>
    <w:p w:rsidR="00527F22" w:rsidRDefault="00EC1D8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NeoPhotonics</w:t>
      </w:r>
      <w:proofErr w:type="spellEnd"/>
      <w:r>
        <w:rPr>
          <w:rFonts w:ascii="Times New Roman" w:eastAsia="Times New Roman" w:hAnsi="Times New Roman" w:cs="Times New Roman"/>
          <w:sz w:val="24"/>
          <w:szCs w:val="24"/>
        </w:rPr>
        <w:t xml:space="preserve"> should be considered as high-tech company. Consistently investing in research and deve</w:t>
      </w:r>
      <w:r>
        <w:rPr>
          <w:rFonts w:ascii="Times New Roman" w:eastAsia="Times New Roman" w:hAnsi="Times New Roman" w:cs="Times New Roman"/>
          <w:sz w:val="24"/>
          <w:szCs w:val="24"/>
        </w:rPr>
        <w:t>lopment similar with competitors is a good sign.</w:t>
      </w:r>
    </w:p>
    <w:p w:rsidR="00527F22" w:rsidRDefault="00527F22">
      <w:pPr>
        <w:rPr>
          <w:rFonts w:ascii="Times New Roman" w:eastAsia="Times New Roman" w:hAnsi="Times New Roman" w:cs="Times New Roman"/>
          <w:sz w:val="24"/>
          <w:szCs w:val="24"/>
        </w:rPr>
      </w:pPr>
    </w:p>
    <w:p w:rsidR="00527F22" w:rsidRDefault="00EC1D8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NeoPhotonic’s</w:t>
      </w:r>
      <w:proofErr w:type="spellEnd"/>
      <w:r>
        <w:rPr>
          <w:rFonts w:ascii="Times New Roman" w:eastAsia="Times New Roman" w:hAnsi="Times New Roman" w:cs="Times New Roman"/>
          <w:sz w:val="24"/>
          <w:szCs w:val="24"/>
        </w:rPr>
        <w:t xml:space="preserve"> insiders should own at least 10% (they own 14.54% ) of the company's outstanding shares which is the minimum required. A high percentage typically indicates that the insiders are confident tha</w:t>
      </w:r>
      <w:r>
        <w:rPr>
          <w:rFonts w:ascii="Times New Roman" w:eastAsia="Times New Roman" w:hAnsi="Times New Roman" w:cs="Times New Roman"/>
          <w:sz w:val="24"/>
          <w:szCs w:val="24"/>
        </w:rPr>
        <w:t>t the company will do well.</w:t>
      </w:r>
    </w:p>
    <w:p w:rsidR="00527F22" w:rsidRDefault="00527F22">
      <w:pPr>
        <w:rPr>
          <w:rFonts w:ascii="Times New Roman" w:eastAsia="Times New Roman" w:hAnsi="Times New Roman" w:cs="Times New Roman"/>
          <w:sz w:val="24"/>
          <w:szCs w:val="24"/>
        </w:rPr>
      </w:pPr>
    </w:p>
    <w:p w:rsidR="00527F22" w:rsidRDefault="00EC1D8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NPTN</w:t>
      </w:r>
      <w:proofErr w:type="spellEnd"/>
      <w:r>
        <w:rPr>
          <w:rFonts w:ascii="Times New Roman" w:eastAsia="Times New Roman" w:hAnsi="Times New Roman" w:cs="Times New Roman"/>
          <w:sz w:val="24"/>
          <w:szCs w:val="24"/>
        </w:rPr>
        <w:t xml:space="preserve"> has either issued a significant amount of new shares over the past year or has been issuing more and more shares over the past five years. </w:t>
      </w:r>
      <w:proofErr w:type="spellStart"/>
      <w:r>
        <w:rPr>
          <w:rFonts w:ascii="Times New Roman" w:eastAsia="Times New Roman" w:hAnsi="Times New Roman" w:cs="Times New Roman"/>
          <w:sz w:val="24"/>
          <w:szCs w:val="24"/>
        </w:rPr>
        <w:t>NPTN</w:t>
      </w:r>
      <w:proofErr w:type="spellEnd"/>
      <w:r>
        <w:rPr>
          <w:rFonts w:ascii="Times New Roman" w:eastAsia="Times New Roman" w:hAnsi="Times New Roman" w:cs="Times New Roman"/>
          <w:sz w:val="24"/>
          <w:szCs w:val="24"/>
        </w:rPr>
        <w:t xml:space="preserve"> currently has 42.0 million shares outstanding. This is not a good sign. Genera</w:t>
      </w:r>
      <w:r>
        <w:rPr>
          <w:rFonts w:ascii="Times New Roman" w:eastAsia="Times New Roman" w:hAnsi="Times New Roman" w:cs="Times New Roman"/>
          <w:sz w:val="24"/>
          <w:szCs w:val="24"/>
        </w:rPr>
        <w:t xml:space="preserve">lly when a small-cap company issues more stock, the </w:t>
      </w:r>
      <w:r>
        <w:rPr>
          <w:rFonts w:ascii="Times New Roman" w:eastAsia="Times New Roman" w:hAnsi="Times New Roman" w:cs="Times New Roman"/>
          <w:sz w:val="24"/>
          <w:szCs w:val="24"/>
        </w:rPr>
        <w:lastRenderedPageBreak/>
        <w:t xml:space="preserve">existing stock becomes diluted and devalued by the market. Also, </w:t>
      </w:r>
      <w:proofErr w:type="spellStart"/>
      <w:r>
        <w:rPr>
          <w:rFonts w:ascii="Times New Roman" w:eastAsia="Times New Roman" w:hAnsi="Times New Roman" w:cs="Times New Roman"/>
          <w:sz w:val="24"/>
          <w:szCs w:val="24"/>
        </w:rPr>
        <w:t>Neophotonics</w:t>
      </w:r>
      <w:proofErr w:type="spellEnd"/>
      <w:r>
        <w:rPr>
          <w:rFonts w:ascii="Times New Roman" w:eastAsia="Times New Roman" w:hAnsi="Times New Roman" w:cs="Times New Roman"/>
          <w:sz w:val="24"/>
          <w:szCs w:val="24"/>
        </w:rPr>
        <w:t xml:space="preserve"> is little too liquid that it is difficult to remain relatively undiscovered by institutions. </w:t>
      </w:r>
    </w:p>
    <w:p w:rsidR="00527F22" w:rsidRDefault="00527F22">
      <w:pPr>
        <w:rPr>
          <w:rFonts w:ascii="Times New Roman" w:eastAsia="Times New Roman" w:hAnsi="Times New Roman" w:cs="Times New Roman"/>
          <w:sz w:val="24"/>
          <w:szCs w:val="24"/>
        </w:rPr>
      </w:pPr>
    </w:p>
    <w:p w:rsidR="00527F22" w:rsidRDefault="00EC1D80">
      <w:pPr>
        <w:rPr>
          <w:rFonts w:ascii="Times New Roman" w:eastAsia="Times New Roman" w:hAnsi="Times New Roman" w:cs="Times New Roman"/>
          <w:sz w:val="24"/>
          <w:szCs w:val="24"/>
        </w:rPr>
      </w:pPr>
      <w:r>
        <w:rPr>
          <w:noProof/>
        </w:rPr>
        <w:drawing>
          <wp:inline distT="114300" distB="114300" distL="114300" distR="114300">
            <wp:extent cx="4533900" cy="2390775"/>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4533900" cy="2390775"/>
                    </a:xfrm>
                    <a:prstGeom prst="rect">
                      <a:avLst/>
                    </a:prstGeom>
                    <a:ln/>
                  </pic:spPr>
                </pic:pic>
              </a:graphicData>
            </a:graphic>
          </wp:inline>
        </w:drawing>
      </w:r>
    </w:p>
    <w:p w:rsidR="00527F22" w:rsidRDefault="00EC1D8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NPTN's</w:t>
      </w:r>
      <w:proofErr w:type="spellEnd"/>
      <w:r>
        <w:rPr>
          <w:rFonts w:ascii="Times New Roman" w:eastAsia="Times New Roman" w:hAnsi="Times New Roman" w:cs="Times New Roman"/>
          <w:sz w:val="24"/>
          <w:szCs w:val="24"/>
          <w:highlight w:val="white"/>
        </w:rPr>
        <w:t xml:space="preserve"> sales is </w:t>
      </w:r>
      <w:r>
        <w:rPr>
          <w:rFonts w:ascii="Times New Roman" w:eastAsia="Times New Roman" w:hAnsi="Times New Roman" w:cs="Times New Roman"/>
          <w:sz w:val="24"/>
          <w:szCs w:val="24"/>
        </w:rPr>
        <w:t>$411.4 millio</w:t>
      </w:r>
      <w:r>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highlight w:val="white"/>
        </w:rPr>
        <w:t xml:space="preserve">based on trailing 12 month sales. Sale of </w:t>
      </w:r>
      <w:proofErr w:type="spellStart"/>
      <w:r>
        <w:rPr>
          <w:rFonts w:ascii="Times New Roman" w:eastAsia="Times New Roman" w:hAnsi="Times New Roman" w:cs="Times New Roman"/>
          <w:sz w:val="24"/>
          <w:szCs w:val="24"/>
          <w:highlight w:val="white"/>
        </w:rPr>
        <w:t>NPTN</w:t>
      </w:r>
      <w:proofErr w:type="spellEnd"/>
      <w:r>
        <w:rPr>
          <w:rFonts w:ascii="Times New Roman" w:eastAsia="Times New Roman" w:hAnsi="Times New Roman" w:cs="Times New Roman"/>
          <w:sz w:val="24"/>
          <w:szCs w:val="24"/>
          <w:highlight w:val="white"/>
        </w:rPr>
        <w:t xml:space="preserve"> has been consistently grown over past four years (current year: $</w:t>
      </w:r>
      <w:proofErr w:type="spellStart"/>
      <w:r>
        <w:rPr>
          <w:rFonts w:ascii="Times New Roman" w:eastAsia="Times New Roman" w:hAnsi="Times New Roman" w:cs="Times New Roman"/>
          <w:sz w:val="24"/>
          <w:szCs w:val="24"/>
          <w:highlight w:val="white"/>
        </w:rPr>
        <w:t>411.4M</w:t>
      </w:r>
      <w:proofErr w:type="spellEnd"/>
      <w:r>
        <w:rPr>
          <w:rFonts w:ascii="Times New Roman" w:eastAsia="Times New Roman" w:hAnsi="Times New Roman" w:cs="Times New Roman"/>
          <w:sz w:val="24"/>
          <w:szCs w:val="24"/>
          <w:highlight w:val="white"/>
        </w:rPr>
        <w:t>, 2015: $</w:t>
      </w:r>
      <w:proofErr w:type="spellStart"/>
      <w:r>
        <w:rPr>
          <w:rFonts w:ascii="Times New Roman" w:eastAsia="Times New Roman" w:hAnsi="Times New Roman" w:cs="Times New Roman"/>
          <w:sz w:val="24"/>
          <w:szCs w:val="24"/>
          <w:highlight w:val="white"/>
        </w:rPr>
        <w:t>339.4M</w:t>
      </w:r>
      <w:proofErr w:type="spellEnd"/>
      <w:r>
        <w:rPr>
          <w:rFonts w:ascii="Times New Roman" w:eastAsia="Times New Roman" w:hAnsi="Times New Roman" w:cs="Times New Roman"/>
          <w:sz w:val="24"/>
          <w:szCs w:val="24"/>
          <w:highlight w:val="white"/>
        </w:rPr>
        <w:t>, 2014: $</w:t>
      </w:r>
      <w:proofErr w:type="spellStart"/>
      <w:r>
        <w:rPr>
          <w:rFonts w:ascii="Times New Roman" w:eastAsia="Times New Roman" w:hAnsi="Times New Roman" w:cs="Times New Roman"/>
          <w:sz w:val="24"/>
          <w:szCs w:val="24"/>
          <w:highlight w:val="white"/>
        </w:rPr>
        <w:t>306.2M</w:t>
      </w:r>
      <w:proofErr w:type="spellEnd"/>
      <w:r>
        <w:rPr>
          <w:rFonts w:ascii="Times New Roman" w:eastAsia="Times New Roman" w:hAnsi="Times New Roman" w:cs="Times New Roman"/>
          <w:sz w:val="24"/>
          <w:szCs w:val="24"/>
          <w:highlight w:val="white"/>
        </w:rPr>
        <w:t>, 2013: $</w:t>
      </w:r>
      <w:proofErr w:type="spellStart"/>
      <w:r>
        <w:rPr>
          <w:rFonts w:ascii="Times New Roman" w:eastAsia="Times New Roman" w:hAnsi="Times New Roman" w:cs="Times New Roman"/>
          <w:sz w:val="24"/>
          <w:szCs w:val="24"/>
          <w:highlight w:val="white"/>
        </w:rPr>
        <w:t>282.2M</w:t>
      </w:r>
      <w:proofErr w:type="spellEnd"/>
      <w:r>
        <w:rPr>
          <w:rFonts w:ascii="Times New Roman" w:eastAsia="Times New Roman" w:hAnsi="Times New Roman" w:cs="Times New Roman"/>
          <w:sz w:val="24"/>
          <w:szCs w:val="24"/>
          <w:highlight w:val="white"/>
        </w:rPr>
        <w:t>). Also cash flow from operating activities has been increased for three years (current yea</w:t>
      </w:r>
      <w:r>
        <w:rPr>
          <w:rFonts w:ascii="Times New Roman" w:eastAsia="Times New Roman" w:hAnsi="Times New Roman" w:cs="Times New Roman"/>
          <w:sz w:val="24"/>
          <w:szCs w:val="24"/>
          <w:highlight w:val="white"/>
        </w:rPr>
        <w:t>r: $</w:t>
      </w:r>
      <w:proofErr w:type="spellStart"/>
      <w:r>
        <w:rPr>
          <w:rFonts w:ascii="Times New Roman" w:eastAsia="Times New Roman" w:hAnsi="Times New Roman" w:cs="Times New Roman"/>
          <w:sz w:val="24"/>
          <w:szCs w:val="24"/>
          <w:highlight w:val="white"/>
        </w:rPr>
        <w:t>53.8M</w:t>
      </w:r>
      <w:proofErr w:type="spellEnd"/>
      <w:r>
        <w:rPr>
          <w:rFonts w:ascii="Times New Roman" w:eastAsia="Times New Roman" w:hAnsi="Times New Roman" w:cs="Times New Roman"/>
          <w:sz w:val="24"/>
          <w:szCs w:val="24"/>
          <w:highlight w:val="white"/>
        </w:rPr>
        <w:t>, 2015: $</w:t>
      </w:r>
      <w:proofErr w:type="spellStart"/>
      <w:r>
        <w:rPr>
          <w:rFonts w:ascii="Times New Roman" w:eastAsia="Times New Roman" w:hAnsi="Times New Roman" w:cs="Times New Roman"/>
          <w:sz w:val="24"/>
          <w:szCs w:val="24"/>
          <w:highlight w:val="white"/>
        </w:rPr>
        <w:t>26.13M</w:t>
      </w:r>
      <w:proofErr w:type="spellEnd"/>
      <w:r>
        <w:rPr>
          <w:rFonts w:ascii="Times New Roman" w:eastAsia="Times New Roman" w:hAnsi="Times New Roman" w:cs="Times New Roman"/>
          <w:sz w:val="24"/>
          <w:szCs w:val="24"/>
          <w:highlight w:val="white"/>
        </w:rPr>
        <w:t>, 2014: $-</w:t>
      </w:r>
      <w:proofErr w:type="spellStart"/>
      <w:r>
        <w:rPr>
          <w:rFonts w:ascii="Times New Roman" w:eastAsia="Times New Roman" w:hAnsi="Times New Roman" w:cs="Times New Roman"/>
          <w:sz w:val="24"/>
          <w:szCs w:val="24"/>
          <w:highlight w:val="white"/>
        </w:rPr>
        <w:t>0.45M</w:t>
      </w:r>
      <w:proofErr w:type="spellEnd"/>
      <w:r>
        <w:rPr>
          <w:rFonts w:ascii="Times New Roman" w:eastAsia="Times New Roman" w:hAnsi="Times New Roman" w:cs="Times New Roman"/>
          <w:sz w:val="24"/>
          <w:szCs w:val="24"/>
          <w:highlight w:val="white"/>
        </w:rPr>
        <w:t xml:space="preserve">). This is very positive sign of valuation of </w:t>
      </w:r>
      <w:proofErr w:type="spellStart"/>
      <w:r>
        <w:rPr>
          <w:rFonts w:ascii="Times New Roman" w:eastAsia="Times New Roman" w:hAnsi="Times New Roman" w:cs="Times New Roman"/>
          <w:sz w:val="24"/>
          <w:szCs w:val="24"/>
          <w:highlight w:val="white"/>
        </w:rPr>
        <w:t>NeoPhotonics</w:t>
      </w:r>
      <w:proofErr w:type="spellEnd"/>
      <w:r>
        <w:rPr>
          <w:rFonts w:ascii="Times New Roman" w:eastAsia="Times New Roman" w:hAnsi="Times New Roman" w:cs="Times New Roman"/>
          <w:sz w:val="24"/>
          <w:szCs w:val="24"/>
          <w:highlight w:val="white"/>
        </w:rPr>
        <w:t xml:space="preserve"> because we will be confident about growing and positive earning forecast and stock price. </w:t>
      </w:r>
    </w:p>
    <w:p w:rsidR="00527F22" w:rsidRDefault="00527F22">
      <w:pPr>
        <w:rPr>
          <w:rFonts w:ascii="Times New Roman" w:eastAsia="Times New Roman" w:hAnsi="Times New Roman" w:cs="Times New Roman"/>
          <w:sz w:val="24"/>
          <w:szCs w:val="24"/>
        </w:rPr>
      </w:pPr>
    </w:p>
    <w:p w:rsidR="00527F22" w:rsidRDefault="00EC1D80">
      <w:pPr>
        <w:rPr>
          <w:rFonts w:ascii="Times New Roman" w:eastAsia="Times New Roman" w:hAnsi="Times New Roman" w:cs="Times New Roman"/>
          <w:sz w:val="24"/>
          <w:szCs w:val="24"/>
        </w:rPr>
      </w:pPr>
      <w:r>
        <w:rPr>
          <w:rFonts w:ascii="Times New Roman" w:eastAsia="Times New Roman" w:hAnsi="Times New Roman" w:cs="Times New Roman"/>
          <w:sz w:val="24"/>
          <w:szCs w:val="24"/>
        </w:rPr>
        <w:t>Valuation summary:</w:t>
      </w:r>
    </w:p>
    <w:p w:rsidR="00527F22" w:rsidRDefault="00EC1D8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Analysts expected one-year target stock price t</w:t>
      </w:r>
      <w:r>
        <w:rPr>
          <w:rFonts w:ascii="Times New Roman" w:eastAsia="Times New Roman" w:hAnsi="Times New Roman" w:cs="Times New Roman"/>
          <w:sz w:val="24"/>
          <w:szCs w:val="24"/>
        </w:rPr>
        <w:t xml:space="preserve">o be $10.71, true value of $11.77. At this time, </w:t>
      </w:r>
      <w:proofErr w:type="spellStart"/>
      <w:r>
        <w:rPr>
          <w:rFonts w:ascii="Times New Roman" w:eastAsia="Times New Roman" w:hAnsi="Times New Roman" w:cs="Times New Roman"/>
          <w:sz w:val="24"/>
          <w:szCs w:val="24"/>
        </w:rPr>
        <w:t>NeoPhotonic</w:t>
      </w:r>
      <w:proofErr w:type="spellEnd"/>
      <w:r>
        <w:rPr>
          <w:rFonts w:ascii="Times New Roman" w:eastAsia="Times New Roman" w:hAnsi="Times New Roman" w:cs="Times New Roman"/>
          <w:sz w:val="24"/>
          <w:szCs w:val="24"/>
        </w:rPr>
        <w:t xml:space="preserve"> is a little undervalued and analysts recommended to buy or hold the stock because of favorable fundamental factors of </w:t>
      </w:r>
      <w:proofErr w:type="spellStart"/>
      <w:r>
        <w:rPr>
          <w:rFonts w:ascii="Times New Roman" w:eastAsia="Times New Roman" w:hAnsi="Times New Roman" w:cs="Times New Roman"/>
          <w:sz w:val="24"/>
          <w:szCs w:val="24"/>
        </w:rPr>
        <w:t>NeoPhotonic</w:t>
      </w:r>
      <w:proofErr w:type="spellEnd"/>
      <w:r>
        <w:rPr>
          <w:rFonts w:ascii="Times New Roman" w:eastAsia="Times New Roman" w:hAnsi="Times New Roman" w:cs="Times New Roman"/>
          <w:sz w:val="24"/>
          <w:szCs w:val="24"/>
        </w:rPr>
        <w:t xml:space="preserve"> and forecasted constant growth in sale.</w:t>
      </w:r>
    </w:p>
    <w:p w:rsidR="00527F22" w:rsidRDefault="00527F22">
      <w:pPr>
        <w:rPr>
          <w:rFonts w:ascii="Times New Roman" w:eastAsia="Times New Roman" w:hAnsi="Times New Roman" w:cs="Times New Roman"/>
          <w:b/>
          <w:sz w:val="24"/>
          <w:szCs w:val="24"/>
        </w:rPr>
      </w:pPr>
    </w:p>
    <w:p w:rsidR="00527F22" w:rsidRDefault="00EC1D8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Investment Risks:</w:t>
      </w:r>
    </w:p>
    <w:p w:rsidR="00527F22" w:rsidRDefault="00EC1D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Company operates in a dynamic industry and can be affected by a variety of factors.  Any of the following areas could have a negative effect on the Company; </w:t>
      </w:r>
    </w:p>
    <w:p w:rsidR="00527F22" w:rsidRDefault="00EC1D80">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general state of the U.S., China and world economies </w:t>
      </w:r>
    </w:p>
    <w:p w:rsidR="00527F22" w:rsidRDefault="00EC1D80">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highly cyclical nature of the in</w:t>
      </w:r>
      <w:r>
        <w:rPr>
          <w:rFonts w:ascii="Times New Roman" w:eastAsia="Times New Roman" w:hAnsi="Times New Roman" w:cs="Times New Roman"/>
          <w:sz w:val="24"/>
          <w:szCs w:val="24"/>
        </w:rPr>
        <w:t xml:space="preserve">dustries the Company serves </w:t>
      </w:r>
    </w:p>
    <w:p w:rsidR="00527F22" w:rsidRDefault="00EC1D80">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loss of any of a small number of its larger customers</w:t>
      </w:r>
    </w:p>
    <w:p w:rsidR="00527F22" w:rsidRDefault="00EC1D80">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obtain additional financing</w:t>
      </w:r>
    </w:p>
    <w:p w:rsidR="00527F22" w:rsidRDefault="00EC1D80">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Inability to meet certain debt covenants</w:t>
      </w:r>
    </w:p>
    <w:p w:rsidR="00527F22" w:rsidRDefault="00EC1D80">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Fundamental changes in the technology underlying the Company’s products </w:t>
      </w:r>
    </w:p>
    <w:p w:rsidR="00527F22" w:rsidRDefault="00EC1D80">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hiring, trai</w:t>
      </w:r>
      <w:r>
        <w:rPr>
          <w:rFonts w:ascii="Times New Roman" w:eastAsia="Times New Roman" w:hAnsi="Times New Roman" w:cs="Times New Roman"/>
          <w:sz w:val="24"/>
          <w:szCs w:val="24"/>
        </w:rPr>
        <w:t>ning and retention of key employees</w:t>
      </w:r>
    </w:p>
    <w:p w:rsidR="00527F22" w:rsidRDefault="00EC1D80">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Successful and timely completion of product design efforts </w:t>
      </w:r>
    </w:p>
    <w:p w:rsidR="00527F22" w:rsidRDefault="00EC1D80">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 product design introductions by competitors</w:t>
      </w:r>
    </w:p>
    <w:p w:rsidR="00527F22" w:rsidRDefault="00EC1D80">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performance of their subsidiaries  </w:t>
      </w:r>
    </w:p>
    <w:p w:rsidR="00527F22" w:rsidRDefault="00527F22">
      <w:pPr>
        <w:rPr>
          <w:rFonts w:ascii="Times New Roman" w:eastAsia="Times New Roman" w:hAnsi="Times New Roman" w:cs="Times New Roman"/>
          <w:b/>
          <w:sz w:val="24"/>
          <w:szCs w:val="24"/>
        </w:rPr>
      </w:pPr>
    </w:p>
    <w:p w:rsidR="00527F22" w:rsidRDefault="00EC1D8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Recommendation:</w:t>
      </w:r>
    </w:p>
    <w:p w:rsidR="00527F22" w:rsidRDefault="00EC1D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investment recommendation for </w:t>
      </w:r>
      <w:proofErr w:type="spellStart"/>
      <w:r>
        <w:rPr>
          <w:rFonts w:ascii="Times New Roman" w:eastAsia="Times New Roman" w:hAnsi="Times New Roman" w:cs="Times New Roman"/>
          <w:sz w:val="24"/>
          <w:szCs w:val="24"/>
        </w:rPr>
        <w:t>NeoPhotonics</w:t>
      </w:r>
      <w:proofErr w:type="spellEnd"/>
      <w:r>
        <w:rPr>
          <w:rFonts w:ascii="Times New Roman" w:eastAsia="Times New Roman" w:hAnsi="Times New Roman" w:cs="Times New Roman"/>
          <w:sz w:val="24"/>
          <w:szCs w:val="24"/>
        </w:rPr>
        <w:t xml:space="preserve"> stock is</w:t>
      </w:r>
      <w:r>
        <w:rPr>
          <w:rFonts w:ascii="Times New Roman" w:eastAsia="Times New Roman" w:hAnsi="Times New Roman" w:cs="Times New Roman"/>
          <w:sz w:val="24"/>
          <w:szCs w:val="24"/>
        </w:rPr>
        <w:t xml:space="preserve"> to buy or hold under the assumption that the investor will pay close attention to developments within </w:t>
      </w:r>
      <w:proofErr w:type="spellStart"/>
      <w:r>
        <w:rPr>
          <w:rFonts w:ascii="Times New Roman" w:eastAsia="Times New Roman" w:hAnsi="Times New Roman" w:cs="Times New Roman"/>
          <w:sz w:val="24"/>
          <w:szCs w:val="24"/>
        </w:rPr>
        <w:t>NeoPhotonics</w:t>
      </w:r>
      <w:proofErr w:type="spellEnd"/>
      <w:r>
        <w:rPr>
          <w:rFonts w:ascii="Times New Roman" w:eastAsia="Times New Roman" w:hAnsi="Times New Roman" w:cs="Times New Roman"/>
          <w:sz w:val="24"/>
          <w:szCs w:val="24"/>
        </w:rPr>
        <w:t xml:space="preserve"> and the industry as a whole.  Technology can be a hit or a miss, or both. Right now </w:t>
      </w:r>
      <w:proofErr w:type="spellStart"/>
      <w:r>
        <w:rPr>
          <w:rFonts w:ascii="Times New Roman" w:eastAsia="Times New Roman" w:hAnsi="Times New Roman" w:cs="Times New Roman"/>
          <w:sz w:val="24"/>
          <w:szCs w:val="24"/>
        </w:rPr>
        <w:t>NeoPhotonics</w:t>
      </w:r>
      <w:proofErr w:type="spellEnd"/>
      <w:r>
        <w:rPr>
          <w:rFonts w:ascii="Times New Roman" w:eastAsia="Times New Roman" w:hAnsi="Times New Roman" w:cs="Times New Roman"/>
          <w:sz w:val="24"/>
          <w:szCs w:val="24"/>
        </w:rPr>
        <w:t xml:space="preserve"> future is looking optimistic and it is a go</w:t>
      </w:r>
      <w:r>
        <w:rPr>
          <w:rFonts w:ascii="Times New Roman" w:eastAsia="Times New Roman" w:hAnsi="Times New Roman" w:cs="Times New Roman"/>
          <w:sz w:val="24"/>
          <w:szCs w:val="24"/>
        </w:rPr>
        <w:t xml:space="preserve">od investment.  However, if anything were to change in the company or the industry </w:t>
      </w:r>
      <w:proofErr w:type="spellStart"/>
      <w:r>
        <w:rPr>
          <w:rFonts w:ascii="Times New Roman" w:eastAsia="Times New Roman" w:hAnsi="Times New Roman" w:cs="Times New Roman"/>
          <w:sz w:val="24"/>
          <w:szCs w:val="24"/>
        </w:rPr>
        <w:t>NeoPhotonics</w:t>
      </w:r>
      <w:proofErr w:type="spellEnd"/>
      <w:r>
        <w:rPr>
          <w:rFonts w:ascii="Times New Roman" w:eastAsia="Times New Roman" w:hAnsi="Times New Roman" w:cs="Times New Roman"/>
          <w:sz w:val="24"/>
          <w:szCs w:val="24"/>
        </w:rPr>
        <w:t xml:space="preserve"> could become a bad investment.  </w:t>
      </w:r>
      <w:proofErr w:type="spellStart"/>
      <w:r>
        <w:rPr>
          <w:rFonts w:ascii="Times New Roman" w:eastAsia="Times New Roman" w:hAnsi="Times New Roman" w:cs="Times New Roman"/>
          <w:sz w:val="24"/>
          <w:szCs w:val="24"/>
        </w:rPr>
        <w:t>NeoPhotonics</w:t>
      </w:r>
      <w:proofErr w:type="spellEnd"/>
      <w:r>
        <w:rPr>
          <w:rFonts w:ascii="Times New Roman" w:eastAsia="Times New Roman" w:hAnsi="Times New Roman" w:cs="Times New Roman"/>
          <w:sz w:val="24"/>
          <w:szCs w:val="24"/>
        </w:rPr>
        <w:t xml:space="preserve"> has the potential to be a company that is high risk but offers a high reward.</w:t>
      </w:r>
    </w:p>
    <w:sectPr w:rsidR="00527F2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0AA0"/>
    <w:multiLevelType w:val="multilevel"/>
    <w:tmpl w:val="9342C0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AF5121C"/>
    <w:multiLevelType w:val="multilevel"/>
    <w:tmpl w:val="CE788A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FA858E5"/>
    <w:multiLevelType w:val="multilevel"/>
    <w:tmpl w:val="47669D8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496733F0"/>
    <w:multiLevelType w:val="multilevel"/>
    <w:tmpl w:val="901054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71052D39"/>
    <w:multiLevelType w:val="multilevel"/>
    <w:tmpl w:val="47A639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22"/>
    <w:rsid w:val="00527F22"/>
    <w:rsid w:val="00EC1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FFA54-C28E-4237-8D55-27401F3D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pPr>
      <w:contextualSpacing/>
    </w:pPr>
    <w:tblPr>
      <w:tblStyleRowBandSize w:val="1"/>
      <w:tblStyleColBandSize w:val="1"/>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 w:type="table" w:customStyle="1" w:styleId="a0">
    <w:basedOn w:val="TableNormal"/>
    <w:pPr>
      <w:contextualSpacing/>
    </w:pPr>
    <w:tblPr>
      <w:tblStyleRowBandSize w:val="1"/>
      <w:tblStyleColBandSize w:val="1"/>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2191</Words>
  <Characters>12490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Schrenk</dc:creator>
  <cp:lastModifiedBy>Schrenk, Lawrence</cp:lastModifiedBy>
  <cp:revision>2</cp:revision>
  <dcterms:created xsi:type="dcterms:W3CDTF">2017-05-04T03:10:00Z</dcterms:created>
  <dcterms:modified xsi:type="dcterms:W3CDTF">2017-05-04T03:10:00Z</dcterms:modified>
</cp:coreProperties>
</file>