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2A2" w:rsidRDefault="006E4293">
      <w:pPr>
        <w:jc w:val="center"/>
      </w:pPr>
      <w:r>
        <w:rPr>
          <w:noProof/>
          <w:lang w:val="en-US"/>
        </w:rPr>
        <w:drawing>
          <wp:inline distT="114300" distB="114300" distL="114300" distR="114300">
            <wp:extent cx="5086350" cy="895350"/>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
                    <a:srcRect/>
                    <a:stretch>
                      <a:fillRect/>
                    </a:stretch>
                  </pic:blipFill>
                  <pic:spPr>
                    <a:xfrm>
                      <a:off x="0" y="0"/>
                      <a:ext cx="5086350" cy="895350"/>
                    </a:xfrm>
                    <a:prstGeom prst="rect">
                      <a:avLst/>
                    </a:prstGeom>
                    <a:ln/>
                  </pic:spPr>
                </pic:pic>
              </a:graphicData>
            </a:graphic>
          </wp:inline>
        </w:drawing>
      </w:r>
    </w:p>
    <w:p w:rsidR="006842A2" w:rsidRDefault="006842A2"/>
    <w:p w:rsidR="006842A2" w:rsidRDefault="006842A2"/>
    <w:p w:rsidR="006842A2" w:rsidRDefault="006842A2"/>
    <w:p w:rsidR="006842A2" w:rsidRDefault="006842A2"/>
    <w:p w:rsidR="006842A2" w:rsidRDefault="006842A2"/>
    <w:p w:rsidR="006842A2" w:rsidRDefault="006842A2"/>
    <w:p w:rsidR="006842A2" w:rsidRDefault="006842A2"/>
    <w:p w:rsidR="006842A2" w:rsidRDefault="006842A2"/>
    <w:p w:rsidR="006842A2" w:rsidRDefault="006842A2"/>
    <w:p w:rsidR="006842A2" w:rsidRDefault="006842A2"/>
    <w:p w:rsidR="006842A2" w:rsidRDefault="006842A2"/>
    <w:p w:rsidR="006842A2" w:rsidRDefault="006842A2"/>
    <w:p w:rsidR="006842A2" w:rsidRDefault="006842A2"/>
    <w:p w:rsidR="006842A2" w:rsidRDefault="006E4293">
      <w:pPr>
        <w:jc w:val="center"/>
        <w:rPr>
          <w:b/>
          <w:sz w:val="60"/>
          <w:szCs w:val="60"/>
        </w:rPr>
      </w:pPr>
      <w:r>
        <w:rPr>
          <w:b/>
          <w:sz w:val="60"/>
          <w:szCs w:val="60"/>
        </w:rPr>
        <w:t>Equity Report</w:t>
      </w:r>
    </w:p>
    <w:p w:rsidR="006842A2" w:rsidRDefault="006842A2"/>
    <w:p w:rsidR="006842A2" w:rsidRDefault="006842A2"/>
    <w:p w:rsidR="006842A2" w:rsidRDefault="006842A2"/>
    <w:p w:rsidR="006842A2" w:rsidRDefault="006842A2"/>
    <w:p w:rsidR="006842A2" w:rsidRDefault="006842A2"/>
    <w:p w:rsidR="006842A2" w:rsidRDefault="006842A2"/>
    <w:p w:rsidR="006842A2" w:rsidRDefault="006842A2"/>
    <w:p w:rsidR="006842A2" w:rsidRDefault="006842A2"/>
    <w:p w:rsidR="006842A2" w:rsidRDefault="006842A2"/>
    <w:p w:rsidR="006842A2" w:rsidRDefault="006842A2"/>
    <w:p w:rsidR="006842A2" w:rsidRDefault="006842A2"/>
    <w:p w:rsidR="006842A2" w:rsidRDefault="006842A2"/>
    <w:p w:rsidR="006842A2" w:rsidRDefault="006842A2"/>
    <w:p w:rsidR="006842A2" w:rsidRDefault="006E4293">
      <w:pPr>
        <w:jc w:val="center"/>
        <w:rPr>
          <w:sz w:val="36"/>
          <w:szCs w:val="36"/>
        </w:rPr>
      </w:pPr>
      <w:r>
        <w:rPr>
          <w:sz w:val="36"/>
          <w:szCs w:val="36"/>
        </w:rPr>
        <w:t xml:space="preserve">Miranda </w:t>
      </w:r>
      <w:proofErr w:type="spellStart"/>
      <w:r>
        <w:rPr>
          <w:sz w:val="36"/>
          <w:szCs w:val="36"/>
        </w:rPr>
        <w:t>Bergsrud</w:t>
      </w:r>
      <w:proofErr w:type="spellEnd"/>
    </w:p>
    <w:p w:rsidR="006842A2" w:rsidRDefault="006E4293">
      <w:pPr>
        <w:jc w:val="center"/>
        <w:rPr>
          <w:sz w:val="36"/>
          <w:szCs w:val="36"/>
        </w:rPr>
      </w:pPr>
      <w:r>
        <w:rPr>
          <w:sz w:val="36"/>
          <w:szCs w:val="36"/>
        </w:rPr>
        <w:t>Cory Carlson</w:t>
      </w:r>
    </w:p>
    <w:p w:rsidR="006842A2" w:rsidRDefault="006E4293">
      <w:pPr>
        <w:jc w:val="center"/>
        <w:rPr>
          <w:sz w:val="36"/>
          <w:szCs w:val="36"/>
        </w:rPr>
      </w:pPr>
      <w:r>
        <w:rPr>
          <w:sz w:val="36"/>
          <w:szCs w:val="36"/>
        </w:rPr>
        <w:t>Timothy Garcia</w:t>
      </w:r>
    </w:p>
    <w:p w:rsidR="006842A2" w:rsidRDefault="006E4293">
      <w:pPr>
        <w:jc w:val="center"/>
        <w:rPr>
          <w:sz w:val="36"/>
          <w:szCs w:val="36"/>
        </w:rPr>
      </w:pPr>
      <w:r>
        <w:rPr>
          <w:sz w:val="36"/>
          <w:szCs w:val="36"/>
        </w:rPr>
        <w:t xml:space="preserve">Dustin </w:t>
      </w:r>
      <w:proofErr w:type="spellStart"/>
      <w:r>
        <w:rPr>
          <w:sz w:val="36"/>
          <w:szCs w:val="36"/>
        </w:rPr>
        <w:t>Hinck</w:t>
      </w:r>
      <w:proofErr w:type="spellEnd"/>
    </w:p>
    <w:p w:rsidR="006842A2" w:rsidRDefault="006842A2">
      <w:pPr>
        <w:rPr>
          <w:sz w:val="36"/>
          <w:szCs w:val="36"/>
        </w:rPr>
      </w:pPr>
    </w:p>
    <w:p w:rsidR="006E4293" w:rsidRDefault="006E4293">
      <w:pPr>
        <w:rPr>
          <w:sz w:val="36"/>
          <w:szCs w:val="36"/>
        </w:rPr>
      </w:pPr>
    </w:p>
    <w:p w:rsidR="006842A2" w:rsidRDefault="006842A2"/>
    <w:p w:rsidR="006842A2" w:rsidRDefault="006E4293">
      <w:r>
        <w:rPr>
          <w:b/>
          <w:sz w:val="28"/>
          <w:szCs w:val="28"/>
        </w:rPr>
        <w:lastRenderedPageBreak/>
        <w:t>Business Description</w:t>
      </w:r>
      <w:r>
        <w:t xml:space="preserve"> </w:t>
      </w:r>
    </w:p>
    <w:p w:rsidR="006842A2" w:rsidRDefault="006842A2"/>
    <w:p w:rsidR="006842A2" w:rsidRDefault="006E4293">
      <w:pPr>
        <w:rPr>
          <w:b/>
          <w:sz w:val="28"/>
          <w:szCs w:val="28"/>
        </w:rPr>
      </w:pPr>
      <w:r>
        <w:rPr>
          <w:sz w:val="24"/>
          <w:szCs w:val="24"/>
        </w:rPr>
        <w:tab/>
      </w:r>
      <w:proofErr w:type="spellStart"/>
      <w:r>
        <w:rPr>
          <w:sz w:val="24"/>
          <w:szCs w:val="24"/>
        </w:rPr>
        <w:t>Highwoods</w:t>
      </w:r>
      <w:proofErr w:type="spellEnd"/>
      <w:r>
        <w:rPr>
          <w:sz w:val="24"/>
          <w:szCs w:val="24"/>
        </w:rPr>
        <w:t xml:space="preserve"> Properties, headquartered in Raleigh, North Carolina, is a publicly traded real estate investment trust. They own, develop, acquire, lease and manage properties in the districts of Atlanta, Greensboro, Nashville, Orlando, Pittsburgh, Raleigh, Ric</w:t>
      </w:r>
      <w:r>
        <w:rPr>
          <w:sz w:val="24"/>
          <w:szCs w:val="24"/>
        </w:rPr>
        <w:t xml:space="preserve">hmond, and Tampa. These districts are known as Best Business Districts, or BBDs. </w:t>
      </w:r>
      <w:proofErr w:type="spellStart"/>
      <w:r>
        <w:rPr>
          <w:sz w:val="24"/>
          <w:szCs w:val="24"/>
        </w:rPr>
        <w:t>Highwoods</w:t>
      </w:r>
      <w:proofErr w:type="spellEnd"/>
      <w:r>
        <w:rPr>
          <w:sz w:val="24"/>
          <w:szCs w:val="24"/>
        </w:rPr>
        <w:t xml:space="preserve"> Properties’ strategic plan is to own and build in the most dynamic and vibrant submarkets. These BBDs are highly energized, infill business communities that enhance </w:t>
      </w:r>
      <w:r>
        <w:rPr>
          <w:sz w:val="24"/>
          <w:szCs w:val="24"/>
        </w:rPr>
        <w:t xml:space="preserve">their customer’s ability to attract and retain employees and their own customers. These locations are surrounded by amenities and </w:t>
      </w:r>
      <w:proofErr w:type="gramStart"/>
      <w:r>
        <w:rPr>
          <w:sz w:val="24"/>
          <w:szCs w:val="24"/>
        </w:rPr>
        <w:t>well-located</w:t>
      </w:r>
      <w:proofErr w:type="gramEnd"/>
      <w:r>
        <w:rPr>
          <w:sz w:val="24"/>
          <w:szCs w:val="24"/>
        </w:rPr>
        <w:t xml:space="preserve"> within larger metropolitan areas. These BBDs have steady to increasing economic growth and job growth in southeas</w:t>
      </w:r>
      <w:r>
        <w:rPr>
          <w:sz w:val="24"/>
          <w:szCs w:val="24"/>
        </w:rPr>
        <w:t xml:space="preserve">tern markets. Nashville, Raleigh, Atlanta and Florida markets continue to post some of the highest job </w:t>
      </w:r>
      <w:proofErr w:type="gramStart"/>
      <w:r>
        <w:rPr>
          <w:sz w:val="24"/>
          <w:szCs w:val="24"/>
        </w:rPr>
        <w:t>growth and population growth rates across the nation</w:t>
      </w:r>
      <w:proofErr w:type="gramEnd"/>
      <w:r>
        <w:rPr>
          <w:sz w:val="24"/>
          <w:szCs w:val="24"/>
        </w:rPr>
        <w:t xml:space="preserve"> and there is no sign in that slowing down anytime soon. The BBD locations continue to outperform the</w:t>
      </w:r>
      <w:r>
        <w:rPr>
          <w:sz w:val="24"/>
          <w:szCs w:val="24"/>
        </w:rPr>
        <w:t xml:space="preserve">ir broader markets with rents on average 4% higher. </w:t>
      </w:r>
    </w:p>
    <w:p w:rsidR="006842A2" w:rsidRDefault="006E4293">
      <w:pPr>
        <w:rPr>
          <w:sz w:val="24"/>
          <w:szCs w:val="24"/>
        </w:rPr>
      </w:pPr>
      <w:r>
        <w:rPr>
          <w:b/>
          <w:sz w:val="28"/>
          <w:szCs w:val="28"/>
        </w:rPr>
        <w:tab/>
      </w:r>
      <w:proofErr w:type="spellStart"/>
      <w:r>
        <w:rPr>
          <w:sz w:val="24"/>
          <w:szCs w:val="24"/>
        </w:rPr>
        <w:t>Highwoods</w:t>
      </w:r>
      <w:proofErr w:type="spellEnd"/>
      <w:r>
        <w:rPr>
          <w:sz w:val="24"/>
          <w:szCs w:val="24"/>
        </w:rPr>
        <w:t xml:space="preserve"> Properties has a market cap of $4.57 billion and current stock price of $44.60. They focus mostly on the REIT industry and competes for rental properties with a number of other office REITs, a</w:t>
      </w:r>
      <w:r>
        <w:rPr>
          <w:sz w:val="24"/>
          <w:szCs w:val="24"/>
        </w:rPr>
        <w:t xml:space="preserve">s well as other real estate companies. </w:t>
      </w:r>
      <w:proofErr w:type="spellStart"/>
      <w:r>
        <w:rPr>
          <w:sz w:val="24"/>
          <w:szCs w:val="24"/>
        </w:rPr>
        <w:t>Highwoods</w:t>
      </w:r>
      <w:proofErr w:type="spellEnd"/>
      <w:r>
        <w:rPr>
          <w:sz w:val="24"/>
          <w:szCs w:val="24"/>
        </w:rPr>
        <w:t xml:space="preserve"> Properties has a $440 million development pipeline that is 78% pre-leased. This will provide </w:t>
      </w:r>
      <w:proofErr w:type="gramStart"/>
      <w:r>
        <w:rPr>
          <w:sz w:val="24"/>
          <w:szCs w:val="24"/>
        </w:rPr>
        <w:t>them</w:t>
      </w:r>
      <w:proofErr w:type="gramEnd"/>
      <w:r>
        <w:rPr>
          <w:sz w:val="24"/>
          <w:szCs w:val="24"/>
        </w:rPr>
        <w:t xml:space="preserve"> strong cash flow and FFO upon delivery and stabilization over the next two years. There is continued conversa</w:t>
      </w:r>
      <w:r>
        <w:rPr>
          <w:sz w:val="24"/>
          <w:szCs w:val="24"/>
        </w:rPr>
        <w:t xml:space="preserve">tion of additional pre-leased and build-to-suit prospects. </w:t>
      </w:r>
    </w:p>
    <w:p w:rsidR="006842A2" w:rsidRDefault="006842A2">
      <w:pPr>
        <w:rPr>
          <w:sz w:val="24"/>
          <w:szCs w:val="24"/>
        </w:rPr>
      </w:pPr>
    </w:p>
    <w:p w:rsidR="006842A2" w:rsidRDefault="006E4293">
      <w:pPr>
        <w:rPr>
          <w:b/>
          <w:sz w:val="28"/>
          <w:szCs w:val="28"/>
        </w:rPr>
      </w:pPr>
      <w:r>
        <w:rPr>
          <w:b/>
          <w:sz w:val="28"/>
          <w:szCs w:val="28"/>
        </w:rPr>
        <w:t>Management</w:t>
      </w:r>
    </w:p>
    <w:p w:rsidR="006842A2" w:rsidRDefault="006842A2">
      <w:pPr>
        <w:rPr>
          <w:sz w:val="24"/>
          <w:szCs w:val="24"/>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842A2">
        <w:tc>
          <w:tcPr>
            <w:tcW w:w="936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jc w:val="center"/>
              <w:rPr>
                <w:sz w:val="24"/>
                <w:szCs w:val="24"/>
              </w:rPr>
            </w:pPr>
            <w:r>
              <w:rPr>
                <w:sz w:val="24"/>
                <w:szCs w:val="24"/>
              </w:rPr>
              <w:t>Senior Leadership</w:t>
            </w:r>
          </w:p>
        </w:tc>
      </w:tr>
      <w:tr w:rsidR="006842A2">
        <w:tc>
          <w:tcPr>
            <w:tcW w:w="936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b/>
                <w:sz w:val="24"/>
                <w:szCs w:val="24"/>
              </w:rPr>
            </w:pPr>
            <w:r>
              <w:rPr>
                <w:b/>
                <w:sz w:val="24"/>
                <w:szCs w:val="24"/>
              </w:rPr>
              <w:t>Ed Fritsch</w:t>
            </w:r>
          </w:p>
          <w:p w:rsidR="006842A2" w:rsidRDefault="006E4293">
            <w:pPr>
              <w:widowControl w:val="0"/>
              <w:pBdr>
                <w:top w:val="nil"/>
                <w:left w:val="nil"/>
                <w:bottom w:val="nil"/>
                <w:right w:val="nil"/>
                <w:between w:val="nil"/>
              </w:pBdr>
              <w:spacing w:line="240" w:lineRule="auto"/>
              <w:rPr>
                <w:sz w:val="24"/>
                <w:szCs w:val="24"/>
              </w:rPr>
            </w:pPr>
            <w:r>
              <w:rPr>
                <w:i/>
                <w:sz w:val="24"/>
                <w:szCs w:val="24"/>
              </w:rPr>
              <w:t>President, Chief Executive Officer and Director</w:t>
            </w:r>
          </w:p>
        </w:tc>
      </w:tr>
      <w:tr w:rsidR="006842A2">
        <w:tc>
          <w:tcPr>
            <w:tcW w:w="936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b/>
                <w:sz w:val="24"/>
                <w:szCs w:val="24"/>
              </w:rPr>
            </w:pPr>
            <w:r>
              <w:rPr>
                <w:b/>
                <w:sz w:val="24"/>
                <w:szCs w:val="24"/>
              </w:rPr>
              <w:t xml:space="preserve">Ted </w:t>
            </w:r>
            <w:proofErr w:type="spellStart"/>
            <w:r>
              <w:rPr>
                <w:b/>
                <w:sz w:val="24"/>
                <w:szCs w:val="24"/>
              </w:rPr>
              <w:t>Klinck</w:t>
            </w:r>
            <w:proofErr w:type="spellEnd"/>
          </w:p>
          <w:p w:rsidR="006842A2" w:rsidRDefault="006E4293">
            <w:pPr>
              <w:widowControl w:val="0"/>
              <w:pBdr>
                <w:top w:val="nil"/>
                <w:left w:val="nil"/>
                <w:bottom w:val="nil"/>
                <w:right w:val="nil"/>
                <w:between w:val="nil"/>
              </w:pBdr>
              <w:spacing w:line="240" w:lineRule="auto"/>
              <w:rPr>
                <w:i/>
                <w:sz w:val="24"/>
                <w:szCs w:val="24"/>
              </w:rPr>
            </w:pPr>
            <w:r>
              <w:rPr>
                <w:i/>
                <w:sz w:val="24"/>
                <w:szCs w:val="24"/>
              </w:rPr>
              <w:t>Executive Vice President, Chief Operating and Investment Officer</w:t>
            </w:r>
          </w:p>
        </w:tc>
      </w:tr>
      <w:tr w:rsidR="006842A2">
        <w:tc>
          <w:tcPr>
            <w:tcW w:w="936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b/>
                <w:sz w:val="24"/>
                <w:szCs w:val="24"/>
              </w:rPr>
            </w:pPr>
            <w:r>
              <w:rPr>
                <w:b/>
                <w:sz w:val="24"/>
                <w:szCs w:val="24"/>
              </w:rPr>
              <w:t xml:space="preserve">Carman </w:t>
            </w:r>
            <w:proofErr w:type="spellStart"/>
            <w:r>
              <w:rPr>
                <w:b/>
                <w:sz w:val="24"/>
                <w:szCs w:val="24"/>
              </w:rPr>
              <w:t>Liuzzo</w:t>
            </w:r>
            <w:proofErr w:type="spellEnd"/>
          </w:p>
          <w:p w:rsidR="006842A2" w:rsidRDefault="006E4293">
            <w:pPr>
              <w:widowControl w:val="0"/>
              <w:pBdr>
                <w:top w:val="nil"/>
                <w:left w:val="nil"/>
                <w:bottom w:val="nil"/>
                <w:right w:val="nil"/>
                <w:between w:val="nil"/>
              </w:pBdr>
              <w:spacing w:line="240" w:lineRule="auto"/>
              <w:rPr>
                <w:i/>
                <w:sz w:val="24"/>
                <w:szCs w:val="24"/>
              </w:rPr>
            </w:pPr>
            <w:r>
              <w:rPr>
                <w:i/>
                <w:sz w:val="24"/>
                <w:szCs w:val="24"/>
              </w:rPr>
              <w:t>Senior Vice President, Investments</w:t>
            </w:r>
          </w:p>
        </w:tc>
      </w:tr>
      <w:tr w:rsidR="006842A2">
        <w:tc>
          <w:tcPr>
            <w:tcW w:w="936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b/>
                <w:sz w:val="24"/>
                <w:szCs w:val="24"/>
              </w:rPr>
            </w:pPr>
            <w:r>
              <w:rPr>
                <w:b/>
                <w:sz w:val="24"/>
                <w:szCs w:val="24"/>
              </w:rPr>
              <w:t>Jeff Miller</w:t>
            </w:r>
          </w:p>
          <w:p w:rsidR="006842A2" w:rsidRDefault="006E4293">
            <w:pPr>
              <w:widowControl w:val="0"/>
              <w:pBdr>
                <w:top w:val="nil"/>
                <w:left w:val="nil"/>
                <w:bottom w:val="nil"/>
                <w:right w:val="nil"/>
                <w:between w:val="nil"/>
              </w:pBdr>
              <w:spacing w:line="240" w:lineRule="auto"/>
              <w:rPr>
                <w:i/>
                <w:sz w:val="24"/>
                <w:szCs w:val="24"/>
              </w:rPr>
            </w:pPr>
            <w:r>
              <w:rPr>
                <w:i/>
                <w:sz w:val="24"/>
                <w:szCs w:val="24"/>
              </w:rPr>
              <w:t>Executive Vice President, General Counsel and Secretary</w:t>
            </w:r>
          </w:p>
        </w:tc>
      </w:tr>
      <w:tr w:rsidR="006842A2">
        <w:tc>
          <w:tcPr>
            <w:tcW w:w="936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b/>
                <w:i/>
                <w:sz w:val="24"/>
                <w:szCs w:val="24"/>
              </w:rPr>
            </w:pPr>
            <w:r>
              <w:rPr>
                <w:b/>
                <w:sz w:val="24"/>
                <w:szCs w:val="24"/>
              </w:rPr>
              <w:t xml:space="preserve">Mark </w:t>
            </w:r>
            <w:proofErr w:type="spellStart"/>
            <w:r>
              <w:rPr>
                <w:b/>
                <w:sz w:val="24"/>
                <w:szCs w:val="24"/>
              </w:rPr>
              <w:t>Mulhern</w:t>
            </w:r>
            <w:proofErr w:type="spellEnd"/>
          </w:p>
          <w:p w:rsidR="006842A2" w:rsidRDefault="006E4293">
            <w:pPr>
              <w:widowControl w:val="0"/>
              <w:pBdr>
                <w:top w:val="nil"/>
                <w:left w:val="nil"/>
                <w:bottom w:val="nil"/>
                <w:right w:val="nil"/>
                <w:between w:val="nil"/>
              </w:pBdr>
              <w:spacing w:line="240" w:lineRule="auto"/>
              <w:rPr>
                <w:i/>
                <w:sz w:val="24"/>
                <w:szCs w:val="24"/>
              </w:rPr>
            </w:pPr>
            <w:r>
              <w:rPr>
                <w:i/>
                <w:sz w:val="24"/>
                <w:szCs w:val="24"/>
              </w:rPr>
              <w:t>Executive Vice President and Chief Financial Officer</w:t>
            </w:r>
          </w:p>
        </w:tc>
      </w:tr>
      <w:tr w:rsidR="006842A2">
        <w:tc>
          <w:tcPr>
            <w:tcW w:w="936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b/>
                <w:sz w:val="24"/>
                <w:szCs w:val="24"/>
              </w:rPr>
            </w:pPr>
            <w:r>
              <w:rPr>
                <w:b/>
                <w:sz w:val="24"/>
                <w:szCs w:val="24"/>
              </w:rPr>
              <w:t>Randy Roberson</w:t>
            </w:r>
          </w:p>
          <w:p w:rsidR="006842A2" w:rsidRDefault="006E4293">
            <w:pPr>
              <w:widowControl w:val="0"/>
              <w:pBdr>
                <w:top w:val="nil"/>
                <w:left w:val="nil"/>
                <w:bottom w:val="nil"/>
                <w:right w:val="nil"/>
                <w:between w:val="nil"/>
              </w:pBdr>
              <w:spacing w:line="240" w:lineRule="auto"/>
              <w:rPr>
                <w:i/>
                <w:sz w:val="24"/>
                <w:szCs w:val="24"/>
              </w:rPr>
            </w:pPr>
            <w:r>
              <w:rPr>
                <w:i/>
                <w:sz w:val="24"/>
                <w:szCs w:val="24"/>
              </w:rPr>
              <w:lastRenderedPageBreak/>
              <w:t>Senior Vice President, Development</w:t>
            </w:r>
          </w:p>
        </w:tc>
      </w:tr>
      <w:tr w:rsidR="006842A2">
        <w:tc>
          <w:tcPr>
            <w:tcW w:w="936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b/>
                <w:sz w:val="24"/>
                <w:szCs w:val="24"/>
              </w:rPr>
            </w:pPr>
            <w:r>
              <w:rPr>
                <w:b/>
                <w:sz w:val="24"/>
                <w:szCs w:val="24"/>
              </w:rPr>
              <w:lastRenderedPageBreak/>
              <w:t xml:space="preserve">Mike </w:t>
            </w:r>
            <w:proofErr w:type="spellStart"/>
            <w:r>
              <w:rPr>
                <w:b/>
                <w:sz w:val="24"/>
                <w:szCs w:val="24"/>
              </w:rPr>
              <w:t>Starchville</w:t>
            </w:r>
            <w:proofErr w:type="spellEnd"/>
          </w:p>
          <w:p w:rsidR="006842A2" w:rsidRDefault="006E4293">
            <w:pPr>
              <w:widowControl w:val="0"/>
              <w:pBdr>
                <w:top w:val="nil"/>
                <w:left w:val="nil"/>
                <w:bottom w:val="nil"/>
                <w:right w:val="nil"/>
                <w:between w:val="nil"/>
              </w:pBdr>
              <w:spacing w:line="240" w:lineRule="auto"/>
              <w:rPr>
                <w:i/>
                <w:sz w:val="24"/>
                <w:szCs w:val="24"/>
              </w:rPr>
            </w:pPr>
            <w:r>
              <w:rPr>
                <w:i/>
                <w:sz w:val="24"/>
                <w:szCs w:val="24"/>
              </w:rPr>
              <w:t>Senior Vice President, Asset Management</w:t>
            </w:r>
          </w:p>
        </w:tc>
      </w:tr>
      <w:tr w:rsidR="006842A2">
        <w:tc>
          <w:tcPr>
            <w:tcW w:w="936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b/>
                <w:sz w:val="24"/>
                <w:szCs w:val="24"/>
              </w:rPr>
            </w:pPr>
            <w:r>
              <w:rPr>
                <w:b/>
                <w:sz w:val="24"/>
                <w:szCs w:val="24"/>
              </w:rPr>
              <w:t xml:space="preserve">Brendan </w:t>
            </w:r>
            <w:proofErr w:type="spellStart"/>
            <w:r>
              <w:rPr>
                <w:b/>
                <w:sz w:val="24"/>
                <w:szCs w:val="24"/>
              </w:rPr>
              <w:t>Maiorana</w:t>
            </w:r>
            <w:proofErr w:type="spellEnd"/>
          </w:p>
          <w:p w:rsidR="006842A2" w:rsidRDefault="006E4293">
            <w:pPr>
              <w:widowControl w:val="0"/>
              <w:pBdr>
                <w:top w:val="nil"/>
                <w:left w:val="nil"/>
                <w:bottom w:val="nil"/>
                <w:right w:val="nil"/>
                <w:between w:val="nil"/>
              </w:pBdr>
              <w:spacing w:line="240" w:lineRule="auto"/>
              <w:rPr>
                <w:i/>
                <w:sz w:val="24"/>
                <w:szCs w:val="24"/>
              </w:rPr>
            </w:pPr>
            <w:r>
              <w:rPr>
                <w:i/>
                <w:sz w:val="24"/>
                <w:szCs w:val="24"/>
              </w:rPr>
              <w:t>Senior Vice President, Finance &amp; Investor Relations</w:t>
            </w:r>
          </w:p>
        </w:tc>
      </w:tr>
    </w:tbl>
    <w:p w:rsidR="006842A2" w:rsidRDefault="006842A2">
      <w:pPr>
        <w:rPr>
          <w:sz w:val="24"/>
          <w:szCs w:val="24"/>
        </w:rPr>
      </w:pPr>
    </w:p>
    <w:p w:rsidR="006842A2" w:rsidRDefault="006E4293">
      <w:pPr>
        <w:widowControl w:val="0"/>
        <w:spacing w:line="240" w:lineRule="auto"/>
        <w:rPr>
          <w:sz w:val="24"/>
          <w:szCs w:val="24"/>
        </w:rPr>
      </w:pPr>
      <w:r>
        <w:rPr>
          <w:sz w:val="24"/>
          <w:szCs w:val="24"/>
        </w:rPr>
        <w:t xml:space="preserve">Ed Fritsch joined </w:t>
      </w:r>
      <w:proofErr w:type="spellStart"/>
      <w:r>
        <w:rPr>
          <w:sz w:val="24"/>
          <w:szCs w:val="24"/>
        </w:rPr>
        <w:t>Highwoods</w:t>
      </w:r>
      <w:proofErr w:type="spellEnd"/>
      <w:r>
        <w:rPr>
          <w:sz w:val="24"/>
          <w:szCs w:val="24"/>
        </w:rPr>
        <w:t xml:space="preserve"> in 1982 and held many titles before becoming CEO in 2004. He was also a partner of </w:t>
      </w:r>
      <w:proofErr w:type="spellStart"/>
      <w:r>
        <w:rPr>
          <w:sz w:val="24"/>
          <w:szCs w:val="24"/>
        </w:rPr>
        <w:t>Highwoods</w:t>
      </w:r>
      <w:proofErr w:type="spellEnd"/>
      <w:r>
        <w:rPr>
          <w:sz w:val="24"/>
          <w:szCs w:val="24"/>
        </w:rPr>
        <w:t>’ predecessor company be</w:t>
      </w:r>
      <w:r>
        <w:rPr>
          <w:sz w:val="24"/>
          <w:szCs w:val="24"/>
        </w:rPr>
        <w:t xml:space="preserve">fore its initial public offering in 1994. As CEO, he has implemented a successful business strategy focused on four concept principles: people. Portfolio, balance sheet and communications. </w:t>
      </w:r>
    </w:p>
    <w:p w:rsidR="006842A2" w:rsidRDefault="006842A2">
      <w:pPr>
        <w:widowControl w:val="0"/>
        <w:spacing w:line="240" w:lineRule="auto"/>
        <w:rPr>
          <w:sz w:val="24"/>
          <w:szCs w:val="24"/>
        </w:rPr>
      </w:pPr>
    </w:p>
    <w:p w:rsidR="006842A2" w:rsidRDefault="006842A2">
      <w:pPr>
        <w:rPr>
          <w:sz w:val="24"/>
          <w:szCs w:val="24"/>
        </w:rPr>
      </w:pPr>
    </w:p>
    <w:p w:rsidR="006842A2" w:rsidRDefault="006842A2"/>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842A2">
        <w:tc>
          <w:tcPr>
            <w:tcW w:w="936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jc w:val="center"/>
            </w:pPr>
            <w:r>
              <w:t>Board of Directors</w:t>
            </w:r>
          </w:p>
        </w:tc>
      </w:tr>
      <w:tr w:rsidR="006842A2">
        <w:tc>
          <w:tcPr>
            <w:tcW w:w="936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b/>
              </w:rPr>
            </w:pPr>
            <w:r>
              <w:rPr>
                <w:b/>
              </w:rPr>
              <w:t>Temple Sloan</w:t>
            </w:r>
          </w:p>
          <w:p w:rsidR="006842A2" w:rsidRDefault="006E4293">
            <w:pPr>
              <w:widowControl w:val="0"/>
              <w:pBdr>
                <w:top w:val="nil"/>
                <w:left w:val="nil"/>
                <w:bottom w:val="nil"/>
                <w:right w:val="nil"/>
                <w:between w:val="nil"/>
              </w:pBdr>
              <w:spacing w:line="240" w:lineRule="auto"/>
            </w:pPr>
            <w:r>
              <w:rPr>
                <w:i/>
              </w:rPr>
              <w:t>Chairman of the Board, member of the Compensation/Governance and Investment Committees</w:t>
            </w:r>
          </w:p>
        </w:tc>
      </w:tr>
      <w:tr w:rsidR="006842A2">
        <w:tc>
          <w:tcPr>
            <w:tcW w:w="936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b/>
              </w:rPr>
            </w:pPr>
            <w:r>
              <w:rPr>
                <w:b/>
              </w:rPr>
              <w:t>Chuck Anderson</w:t>
            </w:r>
          </w:p>
          <w:p w:rsidR="006842A2" w:rsidRDefault="006E4293">
            <w:pPr>
              <w:widowControl w:val="0"/>
              <w:pBdr>
                <w:top w:val="nil"/>
                <w:left w:val="nil"/>
                <w:bottom w:val="nil"/>
                <w:right w:val="nil"/>
                <w:between w:val="nil"/>
              </w:pBdr>
              <w:spacing w:line="240" w:lineRule="auto"/>
              <w:rPr>
                <w:i/>
              </w:rPr>
            </w:pPr>
            <w:r>
              <w:rPr>
                <w:i/>
              </w:rPr>
              <w:t>Member of the Investment and Audit Committees</w:t>
            </w:r>
          </w:p>
        </w:tc>
      </w:tr>
      <w:tr w:rsidR="006842A2">
        <w:tc>
          <w:tcPr>
            <w:tcW w:w="936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b/>
              </w:rPr>
            </w:pPr>
            <w:r>
              <w:rPr>
                <w:b/>
              </w:rPr>
              <w:t>Gene Anderson</w:t>
            </w:r>
          </w:p>
          <w:p w:rsidR="006842A2" w:rsidRDefault="006E4293">
            <w:pPr>
              <w:widowControl w:val="0"/>
              <w:spacing w:line="240" w:lineRule="auto"/>
              <w:rPr>
                <w:b/>
              </w:rPr>
            </w:pPr>
            <w:r>
              <w:rPr>
                <w:i/>
              </w:rPr>
              <w:t>Member of the Investment and Executive Committees</w:t>
            </w:r>
          </w:p>
        </w:tc>
      </w:tr>
      <w:tr w:rsidR="006842A2">
        <w:tc>
          <w:tcPr>
            <w:tcW w:w="936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b/>
              </w:rPr>
            </w:pPr>
            <w:r>
              <w:rPr>
                <w:b/>
              </w:rPr>
              <w:t>Carlos Evans</w:t>
            </w:r>
          </w:p>
          <w:p w:rsidR="006842A2" w:rsidRDefault="006E4293">
            <w:pPr>
              <w:widowControl w:val="0"/>
              <w:spacing w:line="240" w:lineRule="auto"/>
              <w:rPr>
                <w:b/>
              </w:rPr>
            </w:pPr>
            <w:r>
              <w:rPr>
                <w:i/>
              </w:rPr>
              <w:t>Chair of the Compensation/Governance Committee and member of the Executive Committee</w:t>
            </w:r>
          </w:p>
        </w:tc>
      </w:tr>
      <w:tr w:rsidR="006842A2">
        <w:tc>
          <w:tcPr>
            <w:tcW w:w="936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b/>
              </w:rPr>
            </w:pPr>
            <w:r>
              <w:rPr>
                <w:b/>
              </w:rPr>
              <w:t>Ed Fritsch</w:t>
            </w:r>
          </w:p>
          <w:p w:rsidR="006842A2" w:rsidRDefault="006E4293">
            <w:pPr>
              <w:widowControl w:val="0"/>
              <w:spacing w:line="240" w:lineRule="auto"/>
              <w:rPr>
                <w:b/>
              </w:rPr>
            </w:pPr>
            <w:r>
              <w:rPr>
                <w:i/>
                <w:sz w:val="24"/>
                <w:szCs w:val="24"/>
              </w:rPr>
              <w:t>President, Chief Executive Officer and Director</w:t>
            </w:r>
          </w:p>
        </w:tc>
      </w:tr>
      <w:tr w:rsidR="006842A2">
        <w:tc>
          <w:tcPr>
            <w:tcW w:w="936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b/>
              </w:rPr>
            </w:pPr>
            <w:r>
              <w:rPr>
                <w:b/>
              </w:rPr>
              <w:t xml:space="preserve">Dr. David </w:t>
            </w:r>
            <w:proofErr w:type="spellStart"/>
            <w:r>
              <w:rPr>
                <w:b/>
              </w:rPr>
              <w:t>Hartzell</w:t>
            </w:r>
            <w:proofErr w:type="spellEnd"/>
          </w:p>
          <w:p w:rsidR="006842A2" w:rsidRDefault="006E4293">
            <w:pPr>
              <w:widowControl w:val="0"/>
              <w:spacing w:line="240" w:lineRule="auto"/>
              <w:rPr>
                <w:b/>
              </w:rPr>
            </w:pPr>
            <w:r>
              <w:rPr>
                <w:i/>
              </w:rPr>
              <w:t>Member of the Audit and Investment Committee</w:t>
            </w:r>
          </w:p>
        </w:tc>
      </w:tr>
      <w:tr w:rsidR="006842A2">
        <w:tc>
          <w:tcPr>
            <w:tcW w:w="936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b/>
              </w:rPr>
            </w:pPr>
            <w:r>
              <w:rPr>
                <w:b/>
              </w:rPr>
              <w:t xml:space="preserve">Sherry </w:t>
            </w:r>
            <w:proofErr w:type="spellStart"/>
            <w:r>
              <w:rPr>
                <w:b/>
              </w:rPr>
              <w:t>Kellett</w:t>
            </w:r>
            <w:proofErr w:type="spellEnd"/>
          </w:p>
          <w:p w:rsidR="006842A2" w:rsidRDefault="006E4293">
            <w:pPr>
              <w:widowControl w:val="0"/>
              <w:spacing w:line="240" w:lineRule="auto"/>
              <w:rPr>
                <w:b/>
              </w:rPr>
            </w:pPr>
            <w:r>
              <w:rPr>
                <w:i/>
              </w:rPr>
              <w:t>Chair of the Audit Committee</w:t>
            </w:r>
          </w:p>
        </w:tc>
      </w:tr>
      <w:tr w:rsidR="006842A2">
        <w:tc>
          <w:tcPr>
            <w:tcW w:w="936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b/>
              </w:rPr>
            </w:pPr>
            <w:r>
              <w:rPr>
                <w:b/>
              </w:rPr>
              <w:t>Anne Lloyd</w:t>
            </w:r>
          </w:p>
          <w:p w:rsidR="006842A2" w:rsidRDefault="006E4293">
            <w:pPr>
              <w:widowControl w:val="0"/>
              <w:spacing w:line="240" w:lineRule="auto"/>
              <w:rPr>
                <w:b/>
              </w:rPr>
            </w:pPr>
            <w:r>
              <w:rPr>
                <w:i/>
              </w:rPr>
              <w:t>Member of the Audit Committee</w:t>
            </w:r>
          </w:p>
        </w:tc>
      </w:tr>
    </w:tbl>
    <w:p w:rsidR="006842A2" w:rsidRDefault="006842A2"/>
    <w:p w:rsidR="006842A2" w:rsidRDefault="006842A2"/>
    <w:p w:rsidR="006E4293" w:rsidRDefault="006E4293"/>
    <w:p w:rsidR="006E4293" w:rsidRDefault="006E4293"/>
    <w:p w:rsidR="006E4293" w:rsidRDefault="006E4293">
      <w:bookmarkStart w:id="0" w:name="_GoBack"/>
      <w:bookmarkEnd w:id="0"/>
    </w:p>
    <w:p w:rsidR="006842A2" w:rsidRDefault="006E4293">
      <w:pPr>
        <w:rPr>
          <w:b/>
          <w:sz w:val="28"/>
          <w:szCs w:val="28"/>
        </w:rPr>
      </w:pPr>
      <w:r>
        <w:rPr>
          <w:b/>
          <w:sz w:val="28"/>
          <w:szCs w:val="28"/>
        </w:rPr>
        <w:lastRenderedPageBreak/>
        <w:t>Industry Overview &amp; Competitive Positioning</w:t>
      </w:r>
    </w:p>
    <w:p w:rsidR="006842A2" w:rsidRDefault="006842A2">
      <w:pPr>
        <w:rPr>
          <w:b/>
          <w:sz w:val="28"/>
          <w:szCs w:val="28"/>
        </w:rPr>
      </w:pPr>
    </w:p>
    <w:p w:rsidR="006842A2" w:rsidRDefault="006E4293">
      <w:pPr>
        <w:ind w:firstLine="720"/>
        <w:rPr>
          <w:sz w:val="24"/>
          <w:szCs w:val="24"/>
        </w:rPr>
      </w:pPr>
      <w:proofErr w:type="spellStart"/>
      <w:r>
        <w:rPr>
          <w:sz w:val="24"/>
          <w:szCs w:val="24"/>
        </w:rPr>
        <w:t>Highwoods</w:t>
      </w:r>
      <w:proofErr w:type="spellEnd"/>
      <w:r>
        <w:rPr>
          <w:sz w:val="24"/>
          <w:szCs w:val="24"/>
        </w:rPr>
        <w:t xml:space="preserve"> Properties’ competitors include Alexandria Real Estate Equities, Cousins Properties Incorporated, Liberty Trust Property and Brandywine Realty Trust. </w:t>
      </w:r>
      <w:proofErr w:type="gramStart"/>
      <w:r>
        <w:rPr>
          <w:sz w:val="24"/>
          <w:szCs w:val="24"/>
        </w:rPr>
        <w:t xml:space="preserve">Overall, </w:t>
      </w:r>
      <w:proofErr w:type="spellStart"/>
      <w:r>
        <w:rPr>
          <w:sz w:val="24"/>
          <w:szCs w:val="24"/>
        </w:rPr>
        <w:t>Highwoods</w:t>
      </w:r>
      <w:proofErr w:type="spellEnd"/>
      <w:r>
        <w:rPr>
          <w:sz w:val="24"/>
          <w:szCs w:val="24"/>
        </w:rPr>
        <w:t xml:space="preserve"> Properties is outperforming their competitors, or is right behind them when i</w:t>
      </w:r>
      <w:r>
        <w:rPr>
          <w:sz w:val="24"/>
          <w:szCs w:val="24"/>
        </w:rPr>
        <w:t>t comes to their financials.</w:t>
      </w:r>
      <w:proofErr w:type="gramEnd"/>
    </w:p>
    <w:p w:rsidR="006842A2" w:rsidRDefault="006842A2">
      <w:pPr>
        <w:rPr>
          <w:sz w:val="24"/>
          <w:szCs w:val="24"/>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6842A2">
        <w:tc>
          <w:tcPr>
            <w:tcW w:w="2340" w:type="dxa"/>
            <w:shd w:val="clear" w:color="auto" w:fill="auto"/>
            <w:tcMar>
              <w:top w:w="100" w:type="dxa"/>
              <w:left w:w="100" w:type="dxa"/>
              <w:bottom w:w="100" w:type="dxa"/>
              <w:right w:w="100" w:type="dxa"/>
            </w:tcMar>
          </w:tcPr>
          <w:p w:rsidR="006842A2" w:rsidRDefault="006842A2">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sz w:val="24"/>
                <w:szCs w:val="24"/>
              </w:rPr>
            </w:pPr>
            <w:r>
              <w:rPr>
                <w:sz w:val="24"/>
                <w:szCs w:val="24"/>
              </w:rPr>
              <w:t>Capital Expenditure Coverage</w:t>
            </w:r>
          </w:p>
        </w:tc>
        <w:tc>
          <w:tcPr>
            <w:tcW w:w="234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sz w:val="24"/>
                <w:szCs w:val="24"/>
              </w:rPr>
            </w:pPr>
            <w:r>
              <w:rPr>
                <w:sz w:val="24"/>
                <w:szCs w:val="24"/>
              </w:rPr>
              <w:t>Return on Invested Capital</w:t>
            </w:r>
          </w:p>
        </w:tc>
        <w:tc>
          <w:tcPr>
            <w:tcW w:w="234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sz w:val="24"/>
                <w:szCs w:val="24"/>
              </w:rPr>
            </w:pPr>
            <w:r>
              <w:rPr>
                <w:sz w:val="24"/>
                <w:szCs w:val="24"/>
              </w:rPr>
              <w:t>Cash Return on Invested Capital</w:t>
            </w:r>
          </w:p>
        </w:tc>
      </w:tr>
      <w:tr w:rsidR="006842A2">
        <w:tc>
          <w:tcPr>
            <w:tcW w:w="234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sz w:val="24"/>
                <w:szCs w:val="24"/>
              </w:rPr>
            </w:pPr>
            <w:r>
              <w:rPr>
                <w:sz w:val="24"/>
                <w:szCs w:val="24"/>
              </w:rPr>
              <w:t>HIW</w:t>
            </w:r>
          </w:p>
        </w:tc>
        <w:tc>
          <w:tcPr>
            <w:tcW w:w="234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sz w:val="24"/>
                <w:szCs w:val="24"/>
              </w:rPr>
            </w:pPr>
            <w:r>
              <w:rPr>
                <w:sz w:val="24"/>
                <w:szCs w:val="24"/>
              </w:rPr>
              <w:t>1.8</w:t>
            </w:r>
          </w:p>
        </w:tc>
        <w:tc>
          <w:tcPr>
            <w:tcW w:w="234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sz w:val="24"/>
                <w:szCs w:val="24"/>
              </w:rPr>
            </w:pPr>
            <w:r>
              <w:rPr>
                <w:sz w:val="24"/>
                <w:szCs w:val="24"/>
              </w:rPr>
              <w:t>3.6</w:t>
            </w:r>
          </w:p>
        </w:tc>
        <w:tc>
          <w:tcPr>
            <w:tcW w:w="234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sz w:val="24"/>
                <w:szCs w:val="24"/>
              </w:rPr>
            </w:pPr>
            <w:r>
              <w:rPr>
                <w:sz w:val="24"/>
                <w:szCs w:val="24"/>
              </w:rPr>
              <w:t>3.7%</w:t>
            </w:r>
          </w:p>
        </w:tc>
      </w:tr>
      <w:tr w:rsidR="006842A2">
        <w:tc>
          <w:tcPr>
            <w:tcW w:w="234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sz w:val="24"/>
                <w:szCs w:val="24"/>
              </w:rPr>
            </w:pPr>
            <w:r>
              <w:rPr>
                <w:sz w:val="24"/>
                <w:szCs w:val="24"/>
              </w:rPr>
              <w:t>ARE</w:t>
            </w:r>
          </w:p>
        </w:tc>
        <w:tc>
          <w:tcPr>
            <w:tcW w:w="234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sz w:val="24"/>
                <w:szCs w:val="24"/>
              </w:rPr>
            </w:pPr>
            <w:r>
              <w:rPr>
                <w:sz w:val="24"/>
                <w:szCs w:val="24"/>
              </w:rPr>
              <w:t>0.3</w:t>
            </w:r>
          </w:p>
        </w:tc>
        <w:tc>
          <w:tcPr>
            <w:tcW w:w="234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sz w:val="24"/>
                <w:szCs w:val="24"/>
              </w:rPr>
            </w:pPr>
            <w:r>
              <w:rPr>
                <w:sz w:val="24"/>
                <w:szCs w:val="24"/>
              </w:rPr>
              <w:t>2.3</w:t>
            </w:r>
          </w:p>
        </w:tc>
        <w:tc>
          <w:tcPr>
            <w:tcW w:w="234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sz w:val="24"/>
                <w:szCs w:val="24"/>
              </w:rPr>
            </w:pPr>
            <w:r>
              <w:rPr>
                <w:sz w:val="24"/>
                <w:szCs w:val="24"/>
              </w:rPr>
              <w:t>-10.6%</w:t>
            </w:r>
          </w:p>
        </w:tc>
      </w:tr>
      <w:tr w:rsidR="006842A2">
        <w:tc>
          <w:tcPr>
            <w:tcW w:w="234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sz w:val="24"/>
                <w:szCs w:val="24"/>
              </w:rPr>
            </w:pPr>
            <w:r>
              <w:rPr>
                <w:sz w:val="24"/>
                <w:szCs w:val="24"/>
              </w:rPr>
              <w:t>BDN</w:t>
            </w:r>
          </w:p>
        </w:tc>
        <w:tc>
          <w:tcPr>
            <w:tcW w:w="234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sz w:val="24"/>
                <w:szCs w:val="24"/>
              </w:rPr>
            </w:pPr>
            <w:r>
              <w:rPr>
                <w:sz w:val="24"/>
                <w:szCs w:val="24"/>
              </w:rPr>
              <w:t>2.9</w:t>
            </w:r>
          </w:p>
        </w:tc>
        <w:tc>
          <w:tcPr>
            <w:tcW w:w="234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sz w:val="24"/>
                <w:szCs w:val="24"/>
              </w:rPr>
            </w:pPr>
            <w:r>
              <w:rPr>
                <w:sz w:val="24"/>
                <w:szCs w:val="24"/>
              </w:rPr>
              <w:t>2.1</w:t>
            </w:r>
          </w:p>
        </w:tc>
        <w:tc>
          <w:tcPr>
            <w:tcW w:w="234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sz w:val="24"/>
                <w:szCs w:val="24"/>
              </w:rPr>
            </w:pPr>
            <w:r>
              <w:rPr>
                <w:sz w:val="24"/>
                <w:szCs w:val="24"/>
              </w:rPr>
              <w:t>3.1%</w:t>
            </w:r>
          </w:p>
        </w:tc>
      </w:tr>
      <w:tr w:rsidR="006842A2">
        <w:tc>
          <w:tcPr>
            <w:tcW w:w="234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sz w:val="24"/>
                <w:szCs w:val="24"/>
              </w:rPr>
            </w:pPr>
            <w:r>
              <w:rPr>
                <w:sz w:val="24"/>
                <w:szCs w:val="24"/>
              </w:rPr>
              <w:t>CUZ</w:t>
            </w:r>
          </w:p>
        </w:tc>
        <w:tc>
          <w:tcPr>
            <w:tcW w:w="234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sz w:val="24"/>
                <w:szCs w:val="24"/>
              </w:rPr>
            </w:pPr>
            <w:r>
              <w:rPr>
                <w:sz w:val="24"/>
                <w:szCs w:val="24"/>
              </w:rPr>
              <w:t>-4.2</w:t>
            </w:r>
          </w:p>
        </w:tc>
        <w:tc>
          <w:tcPr>
            <w:tcW w:w="234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sz w:val="24"/>
                <w:szCs w:val="24"/>
              </w:rPr>
            </w:pPr>
            <w:r>
              <w:rPr>
                <w:sz w:val="24"/>
                <w:szCs w:val="24"/>
              </w:rPr>
              <w:t>1.4</w:t>
            </w:r>
          </w:p>
        </w:tc>
        <w:tc>
          <w:tcPr>
            <w:tcW w:w="234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sz w:val="24"/>
                <w:szCs w:val="24"/>
              </w:rPr>
            </w:pPr>
            <w:r>
              <w:rPr>
                <w:sz w:val="24"/>
                <w:szCs w:val="24"/>
              </w:rPr>
              <w:t>6.7%</w:t>
            </w:r>
          </w:p>
        </w:tc>
      </w:tr>
      <w:tr w:rsidR="006842A2">
        <w:tc>
          <w:tcPr>
            <w:tcW w:w="234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sz w:val="24"/>
                <w:szCs w:val="24"/>
              </w:rPr>
            </w:pPr>
            <w:r>
              <w:rPr>
                <w:sz w:val="24"/>
                <w:szCs w:val="24"/>
              </w:rPr>
              <w:t>LPT</w:t>
            </w:r>
          </w:p>
        </w:tc>
        <w:tc>
          <w:tcPr>
            <w:tcW w:w="234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sz w:val="24"/>
                <w:szCs w:val="24"/>
              </w:rPr>
            </w:pPr>
            <w:r>
              <w:rPr>
                <w:sz w:val="24"/>
                <w:szCs w:val="24"/>
              </w:rPr>
              <w:t>NA</w:t>
            </w:r>
          </w:p>
        </w:tc>
        <w:tc>
          <w:tcPr>
            <w:tcW w:w="234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sz w:val="24"/>
                <w:szCs w:val="24"/>
              </w:rPr>
            </w:pPr>
            <w:r>
              <w:rPr>
                <w:sz w:val="24"/>
                <w:szCs w:val="24"/>
              </w:rPr>
              <w:t>6.3</w:t>
            </w:r>
          </w:p>
        </w:tc>
        <w:tc>
          <w:tcPr>
            <w:tcW w:w="2340" w:type="dxa"/>
            <w:shd w:val="clear" w:color="auto" w:fill="auto"/>
            <w:tcMar>
              <w:top w:w="100" w:type="dxa"/>
              <w:left w:w="100" w:type="dxa"/>
              <w:bottom w:w="100" w:type="dxa"/>
              <w:right w:w="100" w:type="dxa"/>
            </w:tcMar>
          </w:tcPr>
          <w:p w:rsidR="006842A2" w:rsidRDefault="006E4293">
            <w:pPr>
              <w:widowControl w:val="0"/>
              <w:pBdr>
                <w:top w:val="nil"/>
                <w:left w:val="nil"/>
                <w:bottom w:val="nil"/>
                <w:right w:val="nil"/>
                <w:between w:val="nil"/>
              </w:pBdr>
              <w:spacing w:line="240" w:lineRule="auto"/>
              <w:rPr>
                <w:sz w:val="24"/>
                <w:szCs w:val="24"/>
              </w:rPr>
            </w:pPr>
            <w:r>
              <w:rPr>
                <w:sz w:val="24"/>
                <w:szCs w:val="24"/>
              </w:rPr>
              <w:t>NA</w:t>
            </w:r>
          </w:p>
        </w:tc>
      </w:tr>
    </w:tbl>
    <w:p w:rsidR="006842A2" w:rsidRDefault="006842A2">
      <w:pPr>
        <w:rPr>
          <w:sz w:val="24"/>
          <w:szCs w:val="24"/>
        </w:rPr>
      </w:pPr>
    </w:p>
    <w:p w:rsidR="006842A2" w:rsidRDefault="006E4293">
      <w:pPr>
        <w:widowControl w:val="0"/>
        <w:spacing w:line="240" w:lineRule="auto"/>
        <w:ind w:firstLine="720"/>
        <w:rPr>
          <w:sz w:val="24"/>
          <w:szCs w:val="24"/>
        </w:rPr>
      </w:pPr>
      <w:r>
        <w:rPr>
          <w:sz w:val="24"/>
          <w:szCs w:val="24"/>
        </w:rPr>
        <w:t xml:space="preserve">The Capital Expenditures Coverage Ratio is the amount a company outlays for capital asset for each dollar of cash dollar it generates from those investments. When it is high it </w:t>
      </w:r>
      <w:proofErr w:type="spellStart"/>
      <w:r>
        <w:rPr>
          <w:sz w:val="24"/>
          <w:szCs w:val="24"/>
        </w:rPr>
        <w:t>iis</w:t>
      </w:r>
      <w:proofErr w:type="spellEnd"/>
      <w:r>
        <w:rPr>
          <w:sz w:val="24"/>
          <w:szCs w:val="24"/>
        </w:rPr>
        <w:t xml:space="preserve"> good for growth and shows sufficient capital to fund operations. It also sh</w:t>
      </w:r>
      <w:r>
        <w:rPr>
          <w:sz w:val="24"/>
          <w:szCs w:val="24"/>
        </w:rPr>
        <w:t xml:space="preserve">ows how much of the profits from operations they are investing into capital investments rather than borrowing. This ratio helps investors and analysts understand a company's ability to buy more assets, and do so without having to issue debt or equity. </w:t>
      </w:r>
      <w:proofErr w:type="spellStart"/>
      <w:r>
        <w:rPr>
          <w:sz w:val="24"/>
          <w:szCs w:val="24"/>
        </w:rPr>
        <w:t>High</w:t>
      </w:r>
      <w:r>
        <w:rPr>
          <w:sz w:val="24"/>
          <w:szCs w:val="24"/>
        </w:rPr>
        <w:t>woods</w:t>
      </w:r>
      <w:proofErr w:type="spellEnd"/>
      <w:r>
        <w:rPr>
          <w:sz w:val="24"/>
          <w:szCs w:val="24"/>
        </w:rPr>
        <w:t xml:space="preserve"> Properties has been growing over the past few years and this shows that they have potential for </w:t>
      </w:r>
      <w:proofErr w:type="gramStart"/>
      <w:r>
        <w:rPr>
          <w:sz w:val="24"/>
          <w:szCs w:val="24"/>
        </w:rPr>
        <w:t>growth which</w:t>
      </w:r>
      <w:proofErr w:type="gramEnd"/>
      <w:r>
        <w:rPr>
          <w:sz w:val="24"/>
          <w:szCs w:val="24"/>
        </w:rPr>
        <w:t xml:space="preserve"> usually increases shareholder wealth and stock price. </w:t>
      </w:r>
    </w:p>
    <w:p w:rsidR="006842A2" w:rsidRDefault="006E4293">
      <w:pPr>
        <w:widowControl w:val="0"/>
        <w:spacing w:line="240" w:lineRule="auto"/>
        <w:ind w:firstLine="720"/>
        <w:rPr>
          <w:sz w:val="24"/>
          <w:szCs w:val="24"/>
        </w:rPr>
      </w:pPr>
      <w:proofErr w:type="spellStart"/>
      <w:r>
        <w:rPr>
          <w:sz w:val="24"/>
          <w:szCs w:val="24"/>
        </w:rPr>
        <w:t>Highwoods</w:t>
      </w:r>
      <w:proofErr w:type="spellEnd"/>
      <w:r>
        <w:rPr>
          <w:sz w:val="24"/>
          <w:szCs w:val="24"/>
        </w:rPr>
        <w:t xml:space="preserve"> Properties shows great return on invested capital compared to its competitor</w:t>
      </w:r>
      <w:r>
        <w:rPr>
          <w:sz w:val="24"/>
          <w:szCs w:val="24"/>
        </w:rPr>
        <w:t xml:space="preserve">s and has been growing over the last few years. This shows that </w:t>
      </w:r>
      <w:proofErr w:type="spellStart"/>
      <w:r>
        <w:rPr>
          <w:sz w:val="24"/>
          <w:szCs w:val="24"/>
        </w:rPr>
        <w:t>Highwoods</w:t>
      </w:r>
      <w:proofErr w:type="spellEnd"/>
      <w:r>
        <w:rPr>
          <w:sz w:val="24"/>
          <w:szCs w:val="24"/>
        </w:rPr>
        <w:t xml:space="preserve"> is good at turning their capital into profits. </w:t>
      </w:r>
    </w:p>
    <w:p w:rsidR="006842A2" w:rsidRDefault="006E4293">
      <w:pPr>
        <w:widowControl w:val="0"/>
        <w:spacing w:line="240" w:lineRule="auto"/>
        <w:ind w:firstLine="720"/>
        <w:rPr>
          <w:sz w:val="24"/>
          <w:szCs w:val="24"/>
        </w:rPr>
      </w:pPr>
      <w:r>
        <w:rPr>
          <w:sz w:val="24"/>
          <w:szCs w:val="24"/>
        </w:rPr>
        <w:t xml:space="preserve">Lastly, the cash return on invested capital is </w:t>
      </w:r>
      <w:proofErr w:type="gramStart"/>
      <w:r>
        <w:rPr>
          <w:sz w:val="24"/>
          <w:szCs w:val="24"/>
        </w:rPr>
        <w:t>fairly similar</w:t>
      </w:r>
      <w:proofErr w:type="gramEnd"/>
      <w:r>
        <w:rPr>
          <w:sz w:val="24"/>
          <w:szCs w:val="24"/>
        </w:rPr>
        <w:t xml:space="preserve"> to the return on invested capital but when measuring return it doesn’t i</w:t>
      </w:r>
      <w:r>
        <w:rPr>
          <w:sz w:val="24"/>
          <w:szCs w:val="24"/>
        </w:rPr>
        <w:t xml:space="preserve">nclude those that are financed by debt. </w:t>
      </w:r>
      <w:proofErr w:type="spellStart"/>
      <w:r>
        <w:rPr>
          <w:sz w:val="24"/>
          <w:szCs w:val="24"/>
        </w:rPr>
        <w:t>Highwoods</w:t>
      </w:r>
      <w:proofErr w:type="spellEnd"/>
      <w:r>
        <w:rPr>
          <w:sz w:val="24"/>
          <w:szCs w:val="24"/>
        </w:rPr>
        <w:t xml:space="preserve"> is fairly average compared to their competitors in this ratio but a positive percent shows they are able to turn their invested capital into cash.</w:t>
      </w:r>
    </w:p>
    <w:p w:rsidR="006842A2" w:rsidRDefault="006842A2">
      <w:pPr>
        <w:widowControl w:val="0"/>
        <w:spacing w:line="240" w:lineRule="auto"/>
        <w:ind w:firstLine="720"/>
        <w:rPr>
          <w:sz w:val="24"/>
          <w:szCs w:val="24"/>
        </w:rPr>
      </w:pPr>
    </w:p>
    <w:p w:rsidR="006842A2" w:rsidRDefault="006842A2">
      <w:pPr>
        <w:widowControl w:val="0"/>
        <w:spacing w:line="240" w:lineRule="auto"/>
        <w:ind w:firstLine="720"/>
        <w:rPr>
          <w:sz w:val="24"/>
          <w:szCs w:val="24"/>
        </w:rPr>
      </w:pPr>
    </w:p>
    <w:p w:rsidR="006842A2" w:rsidRDefault="006842A2">
      <w:pPr>
        <w:widowControl w:val="0"/>
        <w:spacing w:line="240" w:lineRule="auto"/>
        <w:ind w:firstLine="720"/>
        <w:rPr>
          <w:sz w:val="24"/>
          <w:szCs w:val="24"/>
        </w:rPr>
      </w:pPr>
    </w:p>
    <w:p w:rsidR="006842A2" w:rsidRDefault="006E4293">
      <w:pPr>
        <w:rPr>
          <w:b/>
          <w:sz w:val="28"/>
          <w:szCs w:val="28"/>
        </w:rPr>
      </w:pPr>
      <w:r>
        <w:rPr>
          <w:b/>
          <w:sz w:val="28"/>
          <w:szCs w:val="28"/>
        </w:rPr>
        <w:t>Competitors and Selected Financial Data</w:t>
      </w:r>
    </w:p>
    <w:p w:rsidR="006842A2" w:rsidRDefault="006842A2">
      <w:pPr>
        <w:rPr>
          <w:b/>
          <w:sz w:val="24"/>
          <w:szCs w:val="24"/>
        </w:rPr>
      </w:pPr>
    </w:p>
    <w:p w:rsidR="006842A2" w:rsidRDefault="006E4293">
      <w:pPr>
        <w:ind w:firstLine="720"/>
        <w:rPr>
          <w:sz w:val="24"/>
          <w:szCs w:val="24"/>
        </w:rPr>
      </w:pPr>
      <w:r>
        <w:rPr>
          <w:sz w:val="24"/>
          <w:szCs w:val="24"/>
        </w:rPr>
        <w:t xml:space="preserve">The chart below provides an overview of </w:t>
      </w:r>
      <w:proofErr w:type="spellStart"/>
      <w:r>
        <w:rPr>
          <w:sz w:val="24"/>
          <w:szCs w:val="24"/>
        </w:rPr>
        <w:t>Highwoods</w:t>
      </w:r>
      <w:proofErr w:type="spellEnd"/>
      <w:r>
        <w:rPr>
          <w:sz w:val="24"/>
          <w:szCs w:val="24"/>
        </w:rPr>
        <w:t xml:space="preserve"> Properties and their peers, in terms of revenue (blue) and net income (red). It is important to note that one time sales gains are included in this </w:t>
      </w:r>
      <w:proofErr w:type="gramStart"/>
      <w:r>
        <w:rPr>
          <w:sz w:val="24"/>
          <w:szCs w:val="24"/>
        </w:rPr>
        <w:t>figure which</w:t>
      </w:r>
      <w:proofErr w:type="gramEnd"/>
      <w:r>
        <w:rPr>
          <w:sz w:val="24"/>
          <w:szCs w:val="24"/>
        </w:rPr>
        <w:t xml:space="preserve"> can make certain competitors appear more </w:t>
      </w:r>
      <w:r>
        <w:rPr>
          <w:sz w:val="24"/>
          <w:szCs w:val="24"/>
        </w:rPr>
        <w:lastRenderedPageBreak/>
        <w:t>attr</w:t>
      </w:r>
      <w:r>
        <w:rPr>
          <w:sz w:val="24"/>
          <w:szCs w:val="24"/>
        </w:rPr>
        <w:t xml:space="preserve">active or efficient. For example, Cousin’s Properties and Liberty trust properties had one time sales gains of over 150 million while </w:t>
      </w:r>
      <w:proofErr w:type="spellStart"/>
      <w:r>
        <w:rPr>
          <w:sz w:val="24"/>
          <w:szCs w:val="24"/>
        </w:rPr>
        <w:t>Highwoods</w:t>
      </w:r>
      <w:proofErr w:type="spellEnd"/>
      <w:r>
        <w:rPr>
          <w:sz w:val="24"/>
          <w:szCs w:val="24"/>
        </w:rPr>
        <w:t xml:space="preserve"> did not have any this year. </w:t>
      </w:r>
    </w:p>
    <w:p w:rsidR="006842A2" w:rsidRDefault="006842A2">
      <w:pPr>
        <w:ind w:firstLine="720"/>
        <w:rPr>
          <w:sz w:val="24"/>
          <w:szCs w:val="24"/>
        </w:rPr>
      </w:pPr>
    </w:p>
    <w:p w:rsidR="006842A2" w:rsidRDefault="006E4293">
      <w:pPr>
        <w:rPr>
          <w:sz w:val="24"/>
          <w:szCs w:val="24"/>
        </w:rPr>
      </w:pPr>
      <w:r>
        <w:rPr>
          <w:noProof/>
          <w:sz w:val="24"/>
          <w:szCs w:val="24"/>
          <w:lang w:val="en-US"/>
        </w:rPr>
        <w:drawing>
          <wp:inline distT="19050" distB="19050" distL="19050" distR="19050">
            <wp:extent cx="5943600" cy="3224213"/>
            <wp:effectExtent l="0" t="0" r="0" b="0"/>
            <wp:docPr id="5" name="image11.png" descr="Peers 2017  Revenue and Net Income (in thousands)"/>
            <wp:cNvGraphicFramePr/>
            <a:graphic xmlns:a="http://schemas.openxmlformats.org/drawingml/2006/main">
              <a:graphicData uri="http://schemas.openxmlformats.org/drawingml/2006/picture">
                <pic:pic xmlns:pic="http://schemas.openxmlformats.org/drawingml/2006/picture">
                  <pic:nvPicPr>
                    <pic:cNvPr id="0" name="image11.png" descr="Peers 2017  Revenue and Net Income (in thousands)"/>
                    <pic:cNvPicPr preferRelativeResize="0"/>
                  </pic:nvPicPr>
                  <pic:blipFill>
                    <a:blip r:embed="rId5"/>
                    <a:srcRect/>
                    <a:stretch>
                      <a:fillRect/>
                    </a:stretch>
                  </pic:blipFill>
                  <pic:spPr>
                    <a:xfrm>
                      <a:off x="0" y="0"/>
                      <a:ext cx="5943600" cy="3224213"/>
                    </a:xfrm>
                    <a:prstGeom prst="rect">
                      <a:avLst/>
                    </a:prstGeom>
                    <a:ln/>
                  </pic:spPr>
                </pic:pic>
              </a:graphicData>
            </a:graphic>
          </wp:inline>
        </w:drawing>
      </w:r>
    </w:p>
    <w:p w:rsidR="006842A2" w:rsidRDefault="006842A2">
      <w:pPr>
        <w:rPr>
          <w:sz w:val="24"/>
          <w:szCs w:val="24"/>
        </w:rPr>
      </w:pPr>
    </w:p>
    <w:p w:rsidR="006842A2" w:rsidRDefault="006E4293">
      <w:pPr>
        <w:ind w:firstLine="720"/>
        <w:rPr>
          <w:sz w:val="24"/>
          <w:szCs w:val="24"/>
        </w:rPr>
      </w:pPr>
      <w:r>
        <w:rPr>
          <w:sz w:val="24"/>
          <w:szCs w:val="24"/>
        </w:rPr>
        <w:t xml:space="preserve">The Funds </w:t>
      </w:r>
      <w:proofErr w:type="gramStart"/>
      <w:r>
        <w:rPr>
          <w:sz w:val="24"/>
          <w:szCs w:val="24"/>
        </w:rPr>
        <w:t>From</w:t>
      </w:r>
      <w:proofErr w:type="gramEnd"/>
      <w:r>
        <w:rPr>
          <w:sz w:val="24"/>
          <w:szCs w:val="24"/>
        </w:rPr>
        <w:t xml:space="preserve"> Operations or FFO is shown for </w:t>
      </w:r>
      <w:proofErr w:type="spellStart"/>
      <w:r>
        <w:rPr>
          <w:sz w:val="24"/>
          <w:szCs w:val="24"/>
        </w:rPr>
        <w:t>Highwoods</w:t>
      </w:r>
      <w:proofErr w:type="spellEnd"/>
      <w:r>
        <w:rPr>
          <w:sz w:val="24"/>
          <w:szCs w:val="24"/>
        </w:rPr>
        <w:t xml:space="preserve"> and their competitors b</w:t>
      </w:r>
      <w:r>
        <w:rPr>
          <w:sz w:val="24"/>
          <w:szCs w:val="24"/>
        </w:rPr>
        <w:t>elow. The use of FFO rather than earnings per share is because of cost accounting methods that my inaccurately portrait Real Estate Investment Trusts’ true value. Additionally, FFO is a more efficient way of gauging a REIT’s ability to generate and pay div</w:t>
      </w:r>
      <w:r>
        <w:rPr>
          <w:sz w:val="24"/>
          <w:szCs w:val="24"/>
        </w:rPr>
        <w:t xml:space="preserve">idends. Funds </w:t>
      </w:r>
      <w:proofErr w:type="gramStart"/>
      <w:r>
        <w:rPr>
          <w:sz w:val="24"/>
          <w:szCs w:val="24"/>
        </w:rPr>
        <w:t>From</w:t>
      </w:r>
      <w:proofErr w:type="gramEnd"/>
      <w:r>
        <w:rPr>
          <w:sz w:val="24"/>
          <w:szCs w:val="24"/>
        </w:rPr>
        <w:t xml:space="preserve"> Operations compensates for these accounting principles by adding depreciation and amortization back into revenue, while also subtracting any one time sales. </w:t>
      </w:r>
      <w:proofErr w:type="spellStart"/>
      <w:r>
        <w:rPr>
          <w:sz w:val="24"/>
          <w:szCs w:val="24"/>
        </w:rPr>
        <w:t>Highwoods</w:t>
      </w:r>
      <w:proofErr w:type="spellEnd"/>
      <w:r>
        <w:rPr>
          <w:sz w:val="24"/>
          <w:szCs w:val="24"/>
        </w:rPr>
        <w:t xml:space="preserve"> Properties has been very consistent over the years with reasonable, st</w:t>
      </w:r>
      <w:r>
        <w:rPr>
          <w:sz w:val="24"/>
          <w:szCs w:val="24"/>
        </w:rPr>
        <w:t xml:space="preserve">eady growth in FFO. This is due to their strong balance sheet and strategic plan to stay within their local markets and maintaining a high market share, rather than expanding and having to compete more competitively. </w:t>
      </w:r>
    </w:p>
    <w:p w:rsidR="006842A2" w:rsidRDefault="006842A2">
      <w:pPr>
        <w:rPr>
          <w:sz w:val="24"/>
          <w:szCs w:val="24"/>
        </w:rPr>
      </w:pPr>
    </w:p>
    <w:p w:rsidR="006842A2" w:rsidRDefault="006E4293">
      <w:pPr>
        <w:ind w:firstLine="720"/>
        <w:rPr>
          <w:sz w:val="24"/>
          <w:szCs w:val="24"/>
        </w:rPr>
      </w:pPr>
      <w:r>
        <w:rPr>
          <w:sz w:val="24"/>
          <w:szCs w:val="24"/>
        </w:rPr>
        <w:t xml:space="preserve">In 2017, </w:t>
      </w:r>
      <w:proofErr w:type="spellStart"/>
      <w:r>
        <w:rPr>
          <w:sz w:val="24"/>
          <w:szCs w:val="24"/>
        </w:rPr>
        <w:t>Highwoods</w:t>
      </w:r>
      <w:proofErr w:type="spellEnd"/>
      <w:r>
        <w:rPr>
          <w:sz w:val="24"/>
          <w:szCs w:val="24"/>
        </w:rPr>
        <w:t xml:space="preserve"> announced a 3.5% d</w:t>
      </w:r>
      <w:r>
        <w:rPr>
          <w:sz w:val="24"/>
          <w:szCs w:val="24"/>
        </w:rPr>
        <w:t xml:space="preserve">ividend increase, and as of February 2017, that </w:t>
      </w:r>
      <w:proofErr w:type="gramStart"/>
      <w:r>
        <w:rPr>
          <w:sz w:val="24"/>
          <w:szCs w:val="24"/>
        </w:rPr>
        <w:t>has been increased</w:t>
      </w:r>
      <w:proofErr w:type="gramEnd"/>
      <w:r>
        <w:rPr>
          <w:sz w:val="24"/>
          <w:szCs w:val="24"/>
        </w:rPr>
        <w:t xml:space="preserve"> by another 5.1%. </w:t>
      </w:r>
      <w:proofErr w:type="spellStart"/>
      <w:r>
        <w:rPr>
          <w:sz w:val="24"/>
          <w:szCs w:val="24"/>
        </w:rPr>
        <w:t>Highwoods</w:t>
      </w:r>
      <w:proofErr w:type="spellEnd"/>
      <w:r>
        <w:rPr>
          <w:sz w:val="24"/>
          <w:szCs w:val="24"/>
        </w:rPr>
        <w:t xml:space="preserve"> has been consistent in dividends throughout their 40 years. They have been able to maintain these dividend levels through multiple market fluctuations, including </w:t>
      </w:r>
      <w:r>
        <w:rPr>
          <w:sz w:val="24"/>
          <w:szCs w:val="24"/>
        </w:rPr>
        <w:t xml:space="preserve">the recent financial crisis. </w:t>
      </w:r>
      <w:proofErr w:type="spellStart"/>
      <w:r>
        <w:rPr>
          <w:sz w:val="24"/>
          <w:szCs w:val="24"/>
        </w:rPr>
        <w:t>Highwoods</w:t>
      </w:r>
      <w:proofErr w:type="spellEnd"/>
      <w:r>
        <w:rPr>
          <w:sz w:val="24"/>
          <w:szCs w:val="24"/>
        </w:rPr>
        <w:t xml:space="preserve"> Properties has a consistent growth strategy and appear to have a way to maintain and even increase dividends in the future.</w:t>
      </w:r>
    </w:p>
    <w:p w:rsidR="006842A2" w:rsidRDefault="006E4293">
      <w:pPr>
        <w:ind w:firstLine="720"/>
        <w:rPr>
          <w:sz w:val="24"/>
          <w:szCs w:val="24"/>
        </w:rPr>
      </w:pPr>
      <w:r>
        <w:rPr>
          <w:sz w:val="24"/>
          <w:szCs w:val="24"/>
        </w:rPr>
        <w:lastRenderedPageBreak/>
        <w:t xml:space="preserve"> </w:t>
      </w:r>
      <w:r>
        <w:rPr>
          <w:noProof/>
          <w:sz w:val="24"/>
          <w:szCs w:val="24"/>
          <w:lang w:val="en-US"/>
        </w:rPr>
        <w:drawing>
          <wp:inline distT="19050" distB="19050" distL="19050" distR="19050">
            <wp:extent cx="5943600" cy="3670300"/>
            <wp:effectExtent l="0" t="0" r="0" b="0"/>
            <wp:docPr id="4" name="image10.png" descr="FFO (dollars in thousands)"/>
            <wp:cNvGraphicFramePr/>
            <a:graphic xmlns:a="http://schemas.openxmlformats.org/drawingml/2006/main">
              <a:graphicData uri="http://schemas.openxmlformats.org/drawingml/2006/picture">
                <pic:pic xmlns:pic="http://schemas.openxmlformats.org/drawingml/2006/picture">
                  <pic:nvPicPr>
                    <pic:cNvPr id="0" name="image10.png" descr="FFO (dollars in thousands)"/>
                    <pic:cNvPicPr preferRelativeResize="0"/>
                  </pic:nvPicPr>
                  <pic:blipFill>
                    <a:blip r:embed="rId6"/>
                    <a:srcRect/>
                    <a:stretch>
                      <a:fillRect/>
                    </a:stretch>
                  </pic:blipFill>
                  <pic:spPr>
                    <a:xfrm>
                      <a:off x="0" y="0"/>
                      <a:ext cx="5943600" cy="3670300"/>
                    </a:xfrm>
                    <a:prstGeom prst="rect">
                      <a:avLst/>
                    </a:prstGeom>
                    <a:ln/>
                  </pic:spPr>
                </pic:pic>
              </a:graphicData>
            </a:graphic>
          </wp:inline>
        </w:drawing>
      </w:r>
    </w:p>
    <w:p w:rsidR="006842A2" w:rsidRDefault="006842A2">
      <w:pPr>
        <w:rPr>
          <w:sz w:val="24"/>
          <w:szCs w:val="24"/>
        </w:rPr>
      </w:pPr>
    </w:p>
    <w:p w:rsidR="006842A2" w:rsidRDefault="006842A2">
      <w:pPr>
        <w:rPr>
          <w:b/>
          <w:sz w:val="28"/>
          <w:szCs w:val="28"/>
        </w:rPr>
      </w:pPr>
    </w:p>
    <w:p w:rsidR="006842A2" w:rsidRDefault="006842A2">
      <w:pPr>
        <w:rPr>
          <w:b/>
          <w:sz w:val="28"/>
          <w:szCs w:val="28"/>
        </w:rPr>
      </w:pPr>
    </w:p>
    <w:p w:rsidR="006842A2" w:rsidRDefault="006842A2">
      <w:pPr>
        <w:rPr>
          <w:b/>
          <w:sz w:val="28"/>
          <w:szCs w:val="28"/>
        </w:rPr>
      </w:pPr>
    </w:p>
    <w:p w:rsidR="006842A2" w:rsidRDefault="006E4293">
      <w:pPr>
        <w:rPr>
          <w:b/>
          <w:sz w:val="28"/>
          <w:szCs w:val="28"/>
        </w:rPr>
      </w:pPr>
      <w:r>
        <w:rPr>
          <w:b/>
          <w:sz w:val="28"/>
          <w:szCs w:val="28"/>
        </w:rPr>
        <w:t>Valuation Model/Financial Analysis</w:t>
      </w:r>
    </w:p>
    <w:p w:rsidR="006842A2" w:rsidRDefault="006842A2">
      <w:pPr>
        <w:rPr>
          <w:b/>
          <w:sz w:val="28"/>
          <w:szCs w:val="28"/>
        </w:rPr>
      </w:pPr>
    </w:p>
    <w:p w:rsidR="006842A2" w:rsidRDefault="006E4293">
      <w:pPr>
        <w:rPr>
          <w:sz w:val="24"/>
          <w:szCs w:val="24"/>
        </w:rPr>
      </w:pPr>
      <w:r>
        <w:rPr>
          <w:b/>
          <w:sz w:val="28"/>
          <w:szCs w:val="28"/>
        </w:rPr>
        <w:tab/>
      </w:r>
      <w:r>
        <w:rPr>
          <w:sz w:val="24"/>
          <w:szCs w:val="24"/>
        </w:rPr>
        <w:t xml:space="preserve">For our valuation model, we predict that </w:t>
      </w:r>
      <w:proofErr w:type="spellStart"/>
      <w:r>
        <w:rPr>
          <w:sz w:val="24"/>
          <w:szCs w:val="24"/>
        </w:rPr>
        <w:t>Highwoods</w:t>
      </w:r>
      <w:proofErr w:type="spellEnd"/>
      <w:r>
        <w:rPr>
          <w:sz w:val="24"/>
          <w:szCs w:val="24"/>
        </w:rPr>
        <w:t xml:space="preserve"> Properties will have continued growth through their new development pipeline. Our valuation takes into account the growth through economic values increasing. Due to this, we used a </w:t>
      </w:r>
      <w:proofErr w:type="gramStart"/>
      <w:r>
        <w:rPr>
          <w:sz w:val="24"/>
          <w:szCs w:val="24"/>
        </w:rPr>
        <w:t>short term</w:t>
      </w:r>
      <w:proofErr w:type="gramEnd"/>
      <w:r>
        <w:rPr>
          <w:sz w:val="24"/>
          <w:szCs w:val="24"/>
        </w:rPr>
        <w:t xml:space="preserve"> growth rate o</w:t>
      </w:r>
      <w:r>
        <w:rPr>
          <w:sz w:val="24"/>
          <w:szCs w:val="24"/>
        </w:rPr>
        <w:t xml:space="preserve">f 6% and a long term growth rate of 3.5%. </w:t>
      </w:r>
      <w:proofErr w:type="gramStart"/>
      <w:r>
        <w:rPr>
          <w:sz w:val="24"/>
          <w:szCs w:val="24"/>
        </w:rPr>
        <w:t>Also</w:t>
      </w:r>
      <w:proofErr w:type="gramEnd"/>
      <w:r>
        <w:rPr>
          <w:sz w:val="24"/>
          <w:szCs w:val="24"/>
        </w:rPr>
        <w:t xml:space="preserve">, we used a weighted average cost of capital of 6.41%. This gave us a price per share of $48.59 for </w:t>
      </w:r>
      <w:proofErr w:type="spellStart"/>
      <w:r>
        <w:rPr>
          <w:sz w:val="24"/>
          <w:szCs w:val="24"/>
        </w:rPr>
        <w:t>Highwoods</w:t>
      </w:r>
      <w:proofErr w:type="spellEnd"/>
      <w:r>
        <w:rPr>
          <w:sz w:val="24"/>
          <w:szCs w:val="24"/>
        </w:rPr>
        <w:t>, which is about 5 dollars higher than the current stock price of $43.18. The model below shows all o</w:t>
      </w:r>
      <w:r>
        <w:rPr>
          <w:sz w:val="24"/>
          <w:szCs w:val="24"/>
        </w:rPr>
        <w:t xml:space="preserve">f our specific values by year. It </w:t>
      </w:r>
      <w:proofErr w:type="gramStart"/>
      <w:r>
        <w:rPr>
          <w:sz w:val="24"/>
          <w:szCs w:val="24"/>
        </w:rPr>
        <w:t>can be seen</w:t>
      </w:r>
      <w:proofErr w:type="gramEnd"/>
      <w:r>
        <w:rPr>
          <w:sz w:val="24"/>
          <w:szCs w:val="24"/>
        </w:rPr>
        <w:t xml:space="preserve"> in the model how the FCF grows, which is an important component for REIT firms. </w:t>
      </w:r>
      <w:proofErr w:type="spellStart"/>
      <w:r>
        <w:rPr>
          <w:sz w:val="24"/>
          <w:szCs w:val="24"/>
        </w:rPr>
        <w:t>Highwoods</w:t>
      </w:r>
      <w:proofErr w:type="spellEnd"/>
      <w:r>
        <w:rPr>
          <w:sz w:val="24"/>
          <w:szCs w:val="24"/>
        </w:rPr>
        <w:t xml:space="preserve"> has done a great job managing all of their assets and keeping their cash flows invested in new projects. With our curren</w:t>
      </w:r>
      <w:r>
        <w:rPr>
          <w:sz w:val="24"/>
          <w:szCs w:val="24"/>
        </w:rPr>
        <w:t xml:space="preserve">t valuation, we can see that the market is currently undervaluing </w:t>
      </w:r>
      <w:proofErr w:type="spellStart"/>
      <w:r>
        <w:rPr>
          <w:sz w:val="24"/>
          <w:szCs w:val="24"/>
        </w:rPr>
        <w:t>Highwoods</w:t>
      </w:r>
      <w:proofErr w:type="spellEnd"/>
      <w:r>
        <w:rPr>
          <w:sz w:val="24"/>
          <w:szCs w:val="24"/>
        </w:rPr>
        <w:t xml:space="preserve"> Properties’ stock.</w:t>
      </w:r>
    </w:p>
    <w:p w:rsidR="006842A2" w:rsidRDefault="006E4293">
      <w:pPr>
        <w:rPr>
          <w:sz w:val="24"/>
          <w:szCs w:val="24"/>
        </w:rPr>
      </w:pPr>
      <w:r>
        <w:rPr>
          <w:noProof/>
          <w:sz w:val="24"/>
          <w:szCs w:val="24"/>
          <w:lang w:val="en-US"/>
        </w:rPr>
        <w:lastRenderedPageBreak/>
        <w:drawing>
          <wp:inline distT="114300" distB="114300" distL="114300" distR="114300">
            <wp:extent cx="5619750" cy="6810375"/>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5619750" cy="6810375"/>
                    </a:xfrm>
                    <a:prstGeom prst="rect">
                      <a:avLst/>
                    </a:prstGeom>
                    <a:ln/>
                  </pic:spPr>
                </pic:pic>
              </a:graphicData>
            </a:graphic>
          </wp:inline>
        </w:drawing>
      </w:r>
    </w:p>
    <w:p w:rsidR="006842A2" w:rsidRDefault="006E4293">
      <w:pPr>
        <w:rPr>
          <w:sz w:val="24"/>
          <w:szCs w:val="24"/>
        </w:rPr>
      </w:pPr>
      <w:r>
        <w:rPr>
          <w:noProof/>
          <w:sz w:val="24"/>
          <w:szCs w:val="24"/>
          <w:lang w:val="en-US"/>
        </w:rPr>
        <w:lastRenderedPageBreak/>
        <w:drawing>
          <wp:inline distT="114300" distB="114300" distL="114300" distR="114300">
            <wp:extent cx="4867275" cy="2619375"/>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4867275" cy="2619375"/>
                    </a:xfrm>
                    <a:prstGeom prst="rect">
                      <a:avLst/>
                    </a:prstGeom>
                    <a:ln/>
                  </pic:spPr>
                </pic:pic>
              </a:graphicData>
            </a:graphic>
          </wp:inline>
        </w:drawing>
      </w:r>
    </w:p>
    <w:p w:rsidR="006842A2" w:rsidRDefault="006E4293">
      <w:pPr>
        <w:rPr>
          <w:b/>
          <w:sz w:val="28"/>
          <w:szCs w:val="28"/>
        </w:rPr>
      </w:pPr>
      <w:r>
        <w:rPr>
          <w:b/>
          <w:noProof/>
          <w:sz w:val="28"/>
          <w:szCs w:val="28"/>
          <w:lang w:val="en-US"/>
        </w:rPr>
        <w:drawing>
          <wp:inline distT="114300" distB="114300" distL="114300" distR="114300">
            <wp:extent cx="5943600" cy="3048000"/>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5943600" cy="3048000"/>
                    </a:xfrm>
                    <a:prstGeom prst="rect">
                      <a:avLst/>
                    </a:prstGeom>
                    <a:ln/>
                  </pic:spPr>
                </pic:pic>
              </a:graphicData>
            </a:graphic>
          </wp:inline>
        </w:drawing>
      </w:r>
    </w:p>
    <w:p w:rsidR="006842A2" w:rsidRDefault="006842A2">
      <w:pPr>
        <w:rPr>
          <w:b/>
          <w:sz w:val="28"/>
          <w:szCs w:val="28"/>
        </w:rPr>
      </w:pPr>
    </w:p>
    <w:p w:rsidR="006842A2" w:rsidRDefault="006E4293">
      <w:pPr>
        <w:rPr>
          <w:b/>
          <w:sz w:val="28"/>
          <w:szCs w:val="28"/>
        </w:rPr>
      </w:pPr>
      <w:r>
        <w:rPr>
          <w:b/>
          <w:sz w:val="28"/>
          <w:szCs w:val="28"/>
        </w:rPr>
        <w:t>Investment Risk</w:t>
      </w:r>
    </w:p>
    <w:p w:rsidR="006842A2" w:rsidRDefault="006842A2">
      <w:pPr>
        <w:rPr>
          <w:b/>
          <w:sz w:val="28"/>
          <w:szCs w:val="28"/>
        </w:rPr>
      </w:pPr>
    </w:p>
    <w:p w:rsidR="006842A2" w:rsidRDefault="006E4293">
      <w:pPr>
        <w:ind w:firstLine="720"/>
        <w:rPr>
          <w:sz w:val="24"/>
          <w:szCs w:val="24"/>
        </w:rPr>
      </w:pPr>
      <w:proofErr w:type="spellStart"/>
      <w:r>
        <w:rPr>
          <w:sz w:val="24"/>
          <w:szCs w:val="24"/>
        </w:rPr>
        <w:t>Highwoods</w:t>
      </w:r>
      <w:proofErr w:type="spellEnd"/>
      <w:r>
        <w:rPr>
          <w:sz w:val="24"/>
          <w:szCs w:val="24"/>
        </w:rPr>
        <w:t xml:space="preserve"> Properties has various risk factors that can significantly increase investment risk. Adverse economic conditions in local marke</w:t>
      </w:r>
      <w:r>
        <w:rPr>
          <w:sz w:val="24"/>
          <w:szCs w:val="24"/>
        </w:rPr>
        <w:t xml:space="preserve">ts could have negative impacts on the demand for office space. If local markets have high unemployment rates, it may result in lower occupancy rates for the </w:t>
      </w:r>
      <w:proofErr w:type="spellStart"/>
      <w:r>
        <w:rPr>
          <w:sz w:val="24"/>
          <w:szCs w:val="24"/>
        </w:rPr>
        <w:t>Highwoods</w:t>
      </w:r>
      <w:proofErr w:type="spellEnd"/>
      <w:r>
        <w:rPr>
          <w:sz w:val="24"/>
          <w:szCs w:val="24"/>
        </w:rPr>
        <w:t xml:space="preserve"> portfolio. </w:t>
      </w:r>
    </w:p>
    <w:p w:rsidR="006842A2" w:rsidRDefault="006842A2">
      <w:pPr>
        <w:rPr>
          <w:sz w:val="24"/>
          <w:szCs w:val="24"/>
        </w:rPr>
      </w:pPr>
    </w:p>
    <w:p w:rsidR="006842A2" w:rsidRDefault="006E4293">
      <w:pPr>
        <w:ind w:firstLine="720"/>
        <w:rPr>
          <w:sz w:val="24"/>
          <w:szCs w:val="24"/>
        </w:rPr>
      </w:pPr>
      <w:r>
        <w:rPr>
          <w:sz w:val="24"/>
          <w:szCs w:val="24"/>
        </w:rPr>
        <w:t xml:space="preserve">Acquisitions and/or the development of properties may fail to perform at the high level of standards that is expected by </w:t>
      </w:r>
      <w:proofErr w:type="spellStart"/>
      <w:r>
        <w:rPr>
          <w:sz w:val="24"/>
          <w:szCs w:val="24"/>
        </w:rPr>
        <w:t>Highwoods</w:t>
      </w:r>
      <w:proofErr w:type="spellEnd"/>
      <w:r>
        <w:rPr>
          <w:sz w:val="24"/>
          <w:szCs w:val="24"/>
        </w:rPr>
        <w:t xml:space="preserve">, and </w:t>
      </w:r>
      <w:proofErr w:type="gramStart"/>
      <w:r>
        <w:rPr>
          <w:sz w:val="24"/>
          <w:szCs w:val="24"/>
        </w:rPr>
        <w:t>my require</w:t>
      </w:r>
      <w:proofErr w:type="gramEnd"/>
      <w:r>
        <w:rPr>
          <w:sz w:val="24"/>
          <w:szCs w:val="24"/>
        </w:rPr>
        <w:t xml:space="preserve"> further renovation or development that exceeds the original budget. Additionally, renegotiating similar leasi</w:t>
      </w:r>
      <w:r>
        <w:rPr>
          <w:sz w:val="24"/>
          <w:szCs w:val="24"/>
        </w:rPr>
        <w:t xml:space="preserve">ng terms may not be possible and result in reduced renewals or re-let space. </w:t>
      </w:r>
    </w:p>
    <w:p w:rsidR="006842A2" w:rsidRDefault="006842A2">
      <w:pPr>
        <w:rPr>
          <w:sz w:val="24"/>
          <w:szCs w:val="24"/>
        </w:rPr>
      </w:pPr>
    </w:p>
    <w:p w:rsidR="006842A2" w:rsidRDefault="006E4293">
      <w:pPr>
        <w:ind w:firstLine="720"/>
        <w:rPr>
          <w:sz w:val="24"/>
          <w:szCs w:val="24"/>
        </w:rPr>
      </w:pPr>
      <w:r>
        <w:rPr>
          <w:sz w:val="24"/>
          <w:szCs w:val="24"/>
        </w:rPr>
        <w:t xml:space="preserve">Interest rate levels will continue to be a risk factor for </w:t>
      </w:r>
      <w:proofErr w:type="spellStart"/>
      <w:r>
        <w:rPr>
          <w:sz w:val="24"/>
          <w:szCs w:val="24"/>
        </w:rPr>
        <w:t>Highwoods</w:t>
      </w:r>
      <w:proofErr w:type="spellEnd"/>
      <w:r>
        <w:rPr>
          <w:sz w:val="24"/>
          <w:szCs w:val="24"/>
        </w:rPr>
        <w:t xml:space="preserve"> Properties. As of December </w:t>
      </w:r>
      <w:proofErr w:type="gramStart"/>
      <w:r>
        <w:rPr>
          <w:sz w:val="24"/>
          <w:szCs w:val="24"/>
        </w:rPr>
        <w:t>31st</w:t>
      </w:r>
      <w:proofErr w:type="gramEnd"/>
      <w:r>
        <w:rPr>
          <w:sz w:val="24"/>
          <w:szCs w:val="24"/>
        </w:rPr>
        <w:t xml:space="preserve">, 2017 </w:t>
      </w:r>
      <w:proofErr w:type="spellStart"/>
      <w:r>
        <w:rPr>
          <w:sz w:val="24"/>
          <w:szCs w:val="24"/>
        </w:rPr>
        <w:t>Highwoods</w:t>
      </w:r>
      <w:proofErr w:type="spellEnd"/>
      <w:r>
        <w:rPr>
          <w:sz w:val="24"/>
          <w:szCs w:val="24"/>
        </w:rPr>
        <w:t xml:space="preserve"> had $605 million in variable rate debt outstanding not prote</w:t>
      </w:r>
      <w:r>
        <w:rPr>
          <w:sz w:val="24"/>
          <w:szCs w:val="24"/>
        </w:rPr>
        <w:t xml:space="preserve">cted with interest rate hedge contracts. Variable debt </w:t>
      </w:r>
      <w:proofErr w:type="gramStart"/>
      <w:r>
        <w:rPr>
          <w:sz w:val="24"/>
          <w:szCs w:val="24"/>
        </w:rPr>
        <w:t>may be used</w:t>
      </w:r>
      <w:proofErr w:type="gramEnd"/>
      <w:r>
        <w:rPr>
          <w:sz w:val="24"/>
          <w:szCs w:val="24"/>
        </w:rPr>
        <w:t xml:space="preserve"> in the future, which means any interest rate increases will increase </w:t>
      </w:r>
      <w:proofErr w:type="spellStart"/>
      <w:r>
        <w:rPr>
          <w:sz w:val="24"/>
          <w:szCs w:val="24"/>
        </w:rPr>
        <w:t>Highwoods</w:t>
      </w:r>
      <w:proofErr w:type="spellEnd"/>
      <w:r>
        <w:rPr>
          <w:sz w:val="24"/>
          <w:szCs w:val="24"/>
        </w:rPr>
        <w:t xml:space="preserve"> interest expense and any unhedged variable debt, which could adversely affect their financial conditions. </w:t>
      </w:r>
    </w:p>
    <w:p w:rsidR="006842A2" w:rsidRDefault="006842A2">
      <w:pPr>
        <w:rPr>
          <w:sz w:val="28"/>
          <w:szCs w:val="28"/>
        </w:rPr>
      </w:pPr>
    </w:p>
    <w:p w:rsidR="006842A2" w:rsidRDefault="006E4293">
      <w:pPr>
        <w:rPr>
          <w:b/>
          <w:sz w:val="28"/>
          <w:szCs w:val="28"/>
        </w:rPr>
      </w:pPr>
      <w:r>
        <w:rPr>
          <w:b/>
          <w:sz w:val="28"/>
          <w:szCs w:val="28"/>
        </w:rPr>
        <w:t>Co</w:t>
      </w:r>
      <w:r>
        <w:rPr>
          <w:b/>
          <w:sz w:val="28"/>
          <w:szCs w:val="28"/>
        </w:rPr>
        <w:t>nclusion</w:t>
      </w:r>
    </w:p>
    <w:p w:rsidR="006842A2" w:rsidRDefault="006842A2">
      <w:pPr>
        <w:rPr>
          <w:b/>
          <w:sz w:val="28"/>
          <w:szCs w:val="28"/>
        </w:rPr>
      </w:pPr>
    </w:p>
    <w:p w:rsidR="006842A2" w:rsidRDefault="006E4293">
      <w:pPr>
        <w:rPr>
          <w:sz w:val="24"/>
          <w:szCs w:val="24"/>
        </w:rPr>
      </w:pPr>
      <w:r>
        <w:rPr>
          <w:b/>
          <w:sz w:val="28"/>
          <w:szCs w:val="28"/>
        </w:rPr>
        <w:tab/>
      </w:r>
      <w:r>
        <w:rPr>
          <w:sz w:val="24"/>
          <w:szCs w:val="24"/>
        </w:rPr>
        <w:t>We believe that Highwood’s stock is currently mispriced. We can tell this by looking at our analysis and valuation model. With our model, we came up with a share price of $48.59 and the stock is currently trading for $43.18. Due to this, we woul</w:t>
      </w:r>
      <w:r>
        <w:rPr>
          <w:sz w:val="24"/>
          <w:szCs w:val="24"/>
        </w:rPr>
        <w:t xml:space="preserve">d recommend buying this stock. Based on the past three years, this company is showing consistent growth in to the future. Another important note is the economic growth of the cities Highwood’s has investments. </w:t>
      </w:r>
      <w:proofErr w:type="gramStart"/>
      <w:r>
        <w:rPr>
          <w:sz w:val="24"/>
          <w:szCs w:val="24"/>
        </w:rPr>
        <w:t>70%</w:t>
      </w:r>
      <w:proofErr w:type="gramEnd"/>
      <w:r>
        <w:rPr>
          <w:sz w:val="24"/>
          <w:szCs w:val="24"/>
        </w:rPr>
        <w:t xml:space="preserve"> of their revenue is from properties in Atl</w:t>
      </w:r>
      <w:r>
        <w:rPr>
          <w:sz w:val="24"/>
          <w:szCs w:val="24"/>
        </w:rPr>
        <w:t xml:space="preserve">anta, GA, Nashville, TN, Raleigh, NC, and Tampa Bay, FL. All of these cities show annual economic growth well above </w:t>
      </w:r>
      <w:proofErr w:type="gramStart"/>
      <w:r>
        <w:rPr>
          <w:sz w:val="24"/>
          <w:szCs w:val="24"/>
        </w:rPr>
        <w:t>the  national</w:t>
      </w:r>
      <w:proofErr w:type="gramEnd"/>
      <w:r>
        <w:rPr>
          <w:sz w:val="24"/>
          <w:szCs w:val="24"/>
        </w:rPr>
        <w:t xml:space="preserve"> average. </w:t>
      </w:r>
      <w:proofErr w:type="gramStart"/>
      <w:r>
        <w:rPr>
          <w:sz w:val="24"/>
          <w:szCs w:val="24"/>
        </w:rPr>
        <w:t>Also</w:t>
      </w:r>
      <w:proofErr w:type="gramEnd"/>
      <w:r>
        <w:rPr>
          <w:sz w:val="24"/>
          <w:szCs w:val="24"/>
        </w:rPr>
        <w:t>, there is a divide between current REIT stock prices and the value of their assets. Overall, we believe this sto</w:t>
      </w:r>
      <w:r>
        <w:rPr>
          <w:sz w:val="24"/>
          <w:szCs w:val="24"/>
        </w:rPr>
        <w:t>ck is a strong buy.</w:t>
      </w:r>
    </w:p>
    <w:sectPr w:rsidR="006842A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6842A2"/>
    <w:rsid w:val="006842A2"/>
    <w:rsid w:val="006E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48BC"/>
  <w15:docId w15:val="{2429771C-E043-4227-9C60-CB1163E2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1408</Words>
  <Characters>8031</Characters>
  <Application>Microsoft Office Word</Application>
  <DocSecurity>0</DocSecurity>
  <Lines>66</Lines>
  <Paragraphs>18</Paragraphs>
  <ScaleCrop>false</ScaleCrop>
  <Company>Winona State University</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WSU</cp:lastModifiedBy>
  <cp:revision>2</cp:revision>
  <dcterms:created xsi:type="dcterms:W3CDTF">2018-05-03T02:35:00Z</dcterms:created>
  <dcterms:modified xsi:type="dcterms:W3CDTF">2018-05-03T02:36:00Z</dcterms:modified>
</cp:coreProperties>
</file>